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0BA3" w14:textId="25D5226E" w:rsidR="00C17DC9" w:rsidRDefault="00C17DC9" w:rsidP="00994D08">
      <w:pPr>
        <w:pStyle w:val="Title"/>
        <w:spacing w:before="1560" w:after="2280"/>
        <w:contextualSpacing w:val="0"/>
        <w:jc w:val="both"/>
        <w:rPr>
          <w:rFonts w:ascii="Raleway" w:hAnsi="Raleway"/>
          <w:b/>
          <w:bCs/>
          <w:color w:val="auto"/>
        </w:rPr>
      </w:pPr>
      <w:bookmarkStart w:id="0" w:name="_Hlk118296539"/>
      <w:bookmarkStart w:id="1" w:name="_Hlk19259764"/>
    </w:p>
    <w:p w14:paraId="3F1E4D3E" w14:textId="7CB8C1C1" w:rsidR="00BB3524" w:rsidRPr="00BF6DE6" w:rsidRDefault="42E108D0" w:rsidP="00BF6DE6">
      <w:pPr>
        <w:pStyle w:val="Title"/>
        <w:spacing w:before="1560" w:after="2040"/>
        <w:contextualSpacing w:val="0"/>
        <w:rPr>
          <w:rFonts w:ascii="Raleway" w:hAnsi="Raleway"/>
          <w:b/>
          <w:bCs/>
          <w:color w:val="auto"/>
          <w:sz w:val="64"/>
          <w:szCs w:val="64"/>
        </w:rPr>
      </w:pPr>
      <w:r w:rsidRPr="00BF6DE6">
        <w:rPr>
          <w:rFonts w:ascii="Raleway" w:hAnsi="Raleway"/>
          <w:b/>
          <w:bCs/>
          <w:color w:val="auto"/>
          <w:sz w:val="64"/>
          <w:szCs w:val="64"/>
        </w:rPr>
        <w:t xml:space="preserve">Initiative de développement des entreprises ontariennes – guide à l’intention des </w:t>
      </w:r>
      <w:proofErr w:type="gramStart"/>
      <w:r w:rsidRPr="00BF6DE6">
        <w:rPr>
          <w:rFonts w:ascii="Raleway" w:hAnsi="Raleway"/>
          <w:b/>
          <w:bCs/>
          <w:color w:val="auto"/>
          <w:sz w:val="64"/>
          <w:szCs w:val="64"/>
        </w:rPr>
        <w:t>acheteurs</w:t>
      </w:r>
      <w:proofErr w:type="gramEnd"/>
    </w:p>
    <w:bookmarkEnd w:id="0"/>
    <w:p w14:paraId="7BA3419A" w14:textId="4317C32E" w:rsidR="00BB3524" w:rsidRPr="000202DB" w:rsidRDefault="00BB3524" w:rsidP="00264B5C">
      <w:pPr>
        <w:spacing w:before="360"/>
        <w:rPr>
          <w:rFonts w:cs="Arial"/>
          <w:b/>
          <w:sz w:val="28"/>
        </w:rPr>
      </w:pPr>
      <w:r>
        <w:rPr>
          <w:b/>
          <w:sz w:val="28"/>
        </w:rPr>
        <w:t>Rédaction :</w:t>
      </w:r>
    </w:p>
    <w:p w14:paraId="2624C0EF" w14:textId="3EE5D3A1" w:rsidR="00A35D0C" w:rsidRPr="000202DB" w:rsidRDefault="0006386D" w:rsidP="00264B5C">
      <w:pPr>
        <w:spacing w:before="0" w:after="0" w:line="240" w:lineRule="auto"/>
        <w:rPr>
          <w:rFonts w:cs="Arial"/>
          <w:sz w:val="28"/>
        </w:rPr>
      </w:pPr>
      <w:r>
        <w:rPr>
          <w:sz w:val="28"/>
        </w:rPr>
        <w:t xml:space="preserve">Secrétariat du Conseil du Trésor </w:t>
      </w:r>
    </w:p>
    <w:p w14:paraId="4F83B13C" w14:textId="7D4CAE0C" w:rsidR="002B431E" w:rsidRDefault="00BB3524" w:rsidP="00264B5C">
      <w:pPr>
        <w:spacing w:before="720" w:after="0" w:line="240" w:lineRule="auto"/>
        <w:rPr>
          <w:rFonts w:cs="Arial"/>
          <w:sz w:val="28"/>
          <w:szCs w:val="28"/>
        </w:rPr>
      </w:pPr>
      <w:bookmarkStart w:id="2" w:name="_Hlk118201475"/>
      <w:r>
        <w:rPr>
          <w:b/>
          <w:bCs/>
          <w:sz w:val="28"/>
          <w:szCs w:val="28"/>
        </w:rPr>
        <w:t>Date de la version :</w:t>
      </w:r>
      <w:r>
        <w:rPr>
          <w:sz w:val="28"/>
          <w:szCs w:val="28"/>
        </w:rPr>
        <w:t xml:space="preserve"> </w:t>
      </w:r>
      <w:r w:rsidR="00064DC3" w:rsidRPr="00064DC3">
        <w:rPr>
          <w:sz w:val="28"/>
          <w:szCs w:val="28"/>
        </w:rPr>
        <w:t>Septembre</w:t>
      </w:r>
      <w:r>
        <w:rPr>
          <w:sz w:val="28"/>
          <w:szCs w:val="28"/>
        </w:rPr>
        <w:t> 2024</w:t>
      </w:r>
    </w:p>
    <w:p w14:paraId="33FC03FF" w14:textId="77777777" w:rsidR="00EB3F4D" w:rsidRPr="000202DB" w:rsidRDefault="00EB3F4D" w:rsidP="00264B5C">
      <w:pPr>
        <w:spacing w:before="720" w:after="0" w:line="240" w:lineRule="auto"/>
        <w:rPr>
          <w:rFonts w:cs="Arial"/>
          <w:sz w:val="28"/>
          <w:szCs w:val="28"/>
        </w:rPr>
      </w:pPr>
    </w:p>
    <w:bookmarkEnd w:id="2" w:displacedByCustomXml="next"/>
    <w:bookmarkEnd w:id="1" w:displacedByCustomXml="next"/>
    <w:sdt>
      <w:sdtPr>
        <w:rPr>
          <w:caps/>
          <w:smallCaps/>
        </w:rPr>
        <w:id w:val="434796800"/>
        <w:docPartObj>
          <w:docPartGallery w:val="Table of Contents"/>
          <w:docPartUnique/>
        </w:docPartObj>
      </w:sdtPr>
      <w:sdtEndPr>
        <w:rPr>
          <w:b/>
          <w:bCs/>
          <w:caps w:val="0"/>
          <w:smallCaps w:val="0"/>
          <w:noProof/>
        </w:rPr>
      </w:sdtEndPr>
      <w:sdtContent>
        <w:p w14:paraId="244A57E5" w14:textId="77777777" w:rsidR="00BF6DE6" w:rsidRDefault="00F76611" w:rsidP="009D798B">
          <w:pPr>
            <w:spacing w:before="0" w:line="259" w:lineRule="auto"/>
            <w:jc w:val="center"/>
            <w:rPr>
              <w:noProof/>
            </w:rPr>
          </w:pPr>
          <w:r>
            <w:rPr>
              <w:b/>
              <w:bCs/>
              <w:u w:val="single"/>
            </w:rPr>
            <w:t>Table des matières</w:t>
          </w:r>
          <w:r w:rsidR="009D798B">
            <w:fldChar w:fldCharType="begin"/>
          </w:r>
          <w:r w:rsidR="009D798B">
            <w:instrText xml:space="preserve"> TOC \o "1-2" \h \z \u </w:instrText>
          </w:r>
          <w:r w:rsidR="009D798B">
            <w:fldChar w:fldCharType="separate"/>
          </w:r>
        </w:p>
        <w:p w14:paraId="531AB878" w14:textId="00B3572B" w:rsidR="00BF6DE6" w:rsidRDefault="00064DC3">
          <w:pPr>
            <w:pStyle w:val="TOC1"/>
            <w:rPr>
              <w:rFonts w:asciiTheme="minorHAnsi" w:hAnsiTheme="minorHAnsi"/>
              <w:noProof/>
              <w:sz w:val="22"/>
              <w:lang w:eastAsia="fr-CA"/>
            </w:rPr>
          </w:pPr>
          <w:hyperlink w:anchor="_Toc175666936" w:history="1">
            <w:r w:rsidR="00BF6DE6" w:rsidRPr="00BE284B">
              <w:rPr>
                <w:rStyle w:val="Hyperlink"/>
                <w:noProof/>
              </w:rPr>
              <w:t>1.</w:t>
            </w:r>
            <w:r w:rsidR="00BF6DE6">
              <w:rPr>
                <w:rFonts w:asciiTheme="minorHAnsi" w:hAnsiTheme="minorHAnsi"/>
                <w:noProof/>
                <w:sz w:val="22"/>
                <w:lang w:eastAsia="fr-CA"/>
              </w:rPr>
              <w:tab/>
            </w:r>
            <w:r w:rsidR="00BF6DE6" w:rsidRPr="00BE284B">
              <w:rPr>
                <w:rStyle w:val="Hyperlink"/>
                <w:noProof/>
              </w:rPr>
              <w:t>Objectif</w:t>
            </w:r>
            <w:r w:rsidR="00BF6DE6">
              <w:rPr>
                <w:noProof/>
                <w:webHidden/>
              </w:rPr>
              <w:tab/>
            </w:r>
            <w:r w:rsidR="00BF6DE6">
              <w:rPr>
                <w:noProof/>
                <w:webHidden/>
              </w:rPr>
              <w:fldChar w:fldCharType="begin"/>
            </w:r>
            <w:r w:rsidR="00BF6DE6">
              <w:rPr>
                <w:noProof/>
                <w:webHidden/>
              </w:rPr>
              <w:instrText xml:space="preserve"> PAGEREF _Toc175666936 \h </w:instrText>
            </w:r>
            <w:r w:rsidR="00BF6DE6">
              <w:rPr>
                <w:noProof/>
                <w:webHidden/>
              </w:rPr>
            </w:r>
            <w:r w:rsidR="00BF6DE6">
              <w:rPr>
                <w:noProof/>
                <w:webHidden/>
              </w:rPr>
              <w:fldChar w:fldCharType="separate"/>
            </w:r>
            <w:r w:rsidR="00BF6DE6">
              <w:rPr>
                <w:noProof/>
                <w:webHidden/>
              </w:rPr>
              <w:t>7</w:t>
            </w:r>
            <w:r w:rsidR="00BF6DE6">
              <w:rPr>
                <w:noProof/>
                <w:webHidden/>
              </w:rPr>
              <w:fldChar w:fldCharType="end"/>
            </w:r>
          </w:hyperlink>
        </w:p>
        <w:p w14:paraId="4323A9FC" w14:textId="0E50C023" w:rsidR="00BF6DE6" w:rsidRDefault="00064DC3">
          <w:pPr>
            <w:pStyle w:val="TOC1"/>
            <w:rPr>
              <w:rFonts w:asciiTheme="minorHAnsi" w:hAnsiTheme="minorHAnsi"/>
              <w:noProof/>
              <w:sz w:val="22"/>
              <w:lang w:eastAsia="fr-CA"/>
            </w:rPr>
          </w:pPr>
          <w:hyperlink w:anchor="_Toc175666937" w:history="1">
            <w:r w:rsidR="00BF6DE6" w:rsidRPr="00BE284B">
              <w:rPr>
                <w:rStyle w:val="Hyperlink"/>
                <w:noProof/>
              </w:rPr>
              <w:t>2.</w:t>
            </w:r>
            <w:r w:rsidR="00BF6DE6">
              <w:rPr>
                <w:rFonts w:asciiTheme="minorHAnsi" w:hAnsiTheme="minorHAnsi"/>
                <w:noProof/>
                <w:sz w:val="22"/>
                <w:lang w:eastAsia="fr-CA"/>
              </w:rPr>
              <w:tab/>
            </w:r>
            <w:r w:rsidR="00BF6DE6" w:rsidRPr="00BE284B">
              <w:rPr>
                <w:rStyle w:val="Hyperlink"/>
                <w:noProof/>
              </w:rPr>
              <w:t>Champ d’application et portée</w:t>
            </w:r>
            <w:r w:rsidR="00BF6DE6">
              <w:rPr>
                <w:noProof/>
                <w:webHidden/>
              </w:rPr>
              <w:tab/>
            </w:r>
            <w:r w:rsidR="00BF6DE6">
              <w:rPr>
                <w:noProof/>
                <w:webHidden/>
              </w:rPr>
              <w:fldChar w:fldCharType="begin"/>
            </w:r>
            <w:r w:rsidR="00BF6DE6">
              <w:rPr>
                <w:noProof/>
                <w:webHidden/>
              </w:rPr>
              <w:instrText xml:space="preserve"> PAGEREF _Toc175666937 \h </w:instrText>
            </w:r>
            <w:r w:rsidR="00BF6DE6">
              <w:rPr>
                <w:noProof/>
                <w:webHidden/>
              </w:rPr>
            </w:r>
            <w:r w:rsidR="00BF6DE6">
              <w:rPr>
                <w:noProof/>
                <w:webHidden/>
              </w:rPr>
              <w:fldChar w:fldCharType="separate"/>
            </w:r>
            <w:r w:rsidR="00BF6DE6">
              <w:rPr>
                <w:noProof/>
                <w:webHidden/>
              </w:rPr>
              <w:t>7</w:t>
            </w:r>
            <w:r w:rsidR="00BF6DE6">
              <w:rPr>
                <w:noProof/>
                <w:webHidden/>
              </w:rPr>
              <w:fldChar w:fldCharType="end"/>
            </w:r>
          </w:hyperlink>
        </w:p>
        <w:p w14:paraId="4A3D12F2" w14:textId="693FFA94" w:rsidR="00BF6DE6" w:rsidRDefault="00064DC3">
          <w:pPr>
            <w:pStyle w:val="TOC2"/>
            <w:rPr>
              <w:rFonts w:asciiTheme="minorHAnsi" w:hAnsiTheme="minorHAnsi"/>
              <w:noProof/>
              <w:sz w:val="22"/>
              <w:lang w:eastAsia="fr-CA"/>
            </w:rPr>
          </w:pPr>
          <w:hyperlink w:anchor="_Toc175666938" w:history="1">
            <w:r w:rsidR="00BF6DE6" w:rsidRPr="00BE284B">
              <w:rPr>
                <w:rStyle w:val="Hyperlink"/>
                <w:noProof/>
              </w:rPr>
              <w:t>Les exigences de l’IDEO s’appliquent à :</w:t>
            </w:r>
            <w:r w:rsidR="00BF6DE6">
              <w:rPr>
                <w:noProof/>
                <w:webHidden/>
              </w:rPr>
              <w:tab/>
            </w:r>
            <w:r w:rsidR="00BF6DE6">
              <w:rPr>
                <w:noProof/>
                <w:webHidden/>
              </w:rPr>
              <w:fldChar w:fldCharType="begin"/>
            </w:r>
            <w:r w:rsidR="00BF6DE6">
              <w:rPr>
                <w:noProof/>
                <w:webHidden/>
              </w:rPr>
              <w:instrText xml:space="preserve"> PAGEREF _Toc175666938 \h </w:instrText>
            </w:r>
            <w:r w:rsidR="00BF6DE6">
              <w:rPr>
                <w:noProof/>
                <w:webHidden/>
              </w:rPr>
            </w:r>
            <w:r w:rsidR="00BF6DE6">
              <w:rPr>
                <w:noProof/>
                <w:webHidden/>
              </w:rPr>
              <w:fldChar w:fldCharType="separate"/>
            </w:r>
            <w:r w:rsidR="00BF6DE6">
              <w:rPr>
                <w:noProof/>
                <w:webHidden/>
              </w:rPr>
              <w:t>7</w:t>
            </w:r>
            <w:r w:rsidR="00BF6DE6">
              <w:rPr>
                <w:noProof/>
                <w:webHidden/>
              </w:rPr>
              <w:fldChar w:fldCharType="end"/>
            </w:r>
          </w:hyperlink>
        </w:p>
        <w:p w14:paraId="240CA50F" w14:textId="69B250FA" w:rsidR="00BF6DE6" w:rsidRDefault="00064DC3">
          <w:pPr>
            <w:pStyle w:val="TOC2"/>
            <w:rPr>
              <w:rFonts w:asciiTheme="minorHAnsi" w:hAnsiTheme="minorHAnsi"/>
              <w:noProof/>
              <w:sz w:val="22"/>
              <w:lang w:eastAsia="fr-CA"/>
            </w:rPr>
          </w:pPr>
          <w:hyperlink w:anchor="_Toc175666939" w:history="1">
            <w:r w:rsidR="00BF6DE6" w:rsidRPr="00BE284B">
              <w:rPr>
                <w:rStyle w:val="Hyperlink"/>
                <w:noProof/>
              </w:rPr>
              <w:t>Quel est le champ d’application?</w:t>
            </w:r>
            <w:r w:rsidR="00BF6DE6">
              <w:rPr>
                <w:noProof/>
                <w:webHidden/>
              </w:rPr>
              <w:tab/>
            </w:r>
            <w:r w:rsidR="00BF6DE6">
              <w:rPr>
                <w:noProof/>
                <w:webHidden/>
              </w:rPr>
              <w:fldChar w:fldCharType="begin"/>
            </w:r>
            <w:r w:rsidR="00BF6DE6">
              <w:rPr>
                <w:noProof/>
                <w:webHidden/>
              </w:rPr>
              <w:instrText xml:space="preserve"> PAGEREF _Toc175666939 \h </w:instrText>
            </w:r>
            <w:r w:rsidR="00BF6DE6">
              <w:rPr>
                <w:noProof/>
                <w:webHidden/>
              </w:rPr>
            </w:r>
            <w:r w:rsidR="00BF6DE6">
              <w:rPr>
                <w:noProof/>
                <w:webHidden/>
              </w:rPr>
              <w:fldChar w:fldCharType="separate"/>
            </w:r>
            <w:r w:rsidR="00BF6DE6">
              <w:rPr>
                <w:noProof/>
                <w:webHidden/>
              </w:rPr>
              <w:t>8</w:t>
            </w:r>
            <w:r w:rsidR="00BF6DE6">
              <w:rPr>
                <w:noProof/>
                <w:webHidden/>
              </w:rPr>
              <w:fldChar w:fldCharType="end"/>
            </w:r>
          </w:hyperlink>
        </w:p>
        <w:p w14:paraId="1424ED72" w14:textId="786B71F0" w:rsidR="00BF6DE6" w:rsidRDefault="00064DC3">
          <w:pPr>
            <w:pStyle w:val="TOC1"/>
            <w:rPr>
              <w:rFonts w:asciiTheme="minorHAnsi" w:hAnsiTheme="minorHAnsi"/>
              <w:noProof/>
              <w:sz w:val="22"/>
              <w:lang w:eastAsia="fr-CA"/>
            </w:rPr>
          </w:pPr>
          <w:hyperlink w:anchor="_Toc175666940" w:history="1">
            <w:r w:rsidR="00BF6DE6" w:rsidRPr="00BE284B">
              <w:rPr>
                <w:rStyle w:val="Hyperlink"/>
                <w:noProof/>
              </w:rPr>
              <w:t>3.</w:t>
            </w:r>
            <w:r w:rsidR="00BF6DE6">
              <w:rPr>
                <w:rFonts w:asciiTheme="minorHAnsi" w:hAnsiTheme="minorHAnsi"/>
                <w:noProof/>
                <w:sz w:val="22"/>
                <w:lang w:eastAsia="fr-CA"/>
              </w:rPr>
              <w:tab/>
            </w:r>
            <w:r w:rsidR="00BF6DE6" w:rsidRPr="00BE284B">
              <w:rPr>
                <w:rStyle w:val="Hyperlink"/>
                <w:noProof/>
              </w:rPr>
              <w:t>Définitions principales</w:t>
            </w:r>
            <w:r w:rsidR="00BF6DE6">
              <w:rPr>
                <w:noProof/>
                <w:webHidden/>
              </w:rPr>
              <w:tab/>
            </w:r>
            <w:r w:rsidR="00BF6DE6">
              <w:rPr>
                <w:noProof/>
                <w:webHidden/>
              </w:rPr>
              <w:fldChar w:fldCharType="begin"/>
            </w:r>
            <w:r w:rsidR="00BF6DE6">
              <w:rPr>
                <w:noProof/>
                <w:webHidden/>
              </w:rPr>
              <w:instrText xml:space="preserve"> PAGEREF _Toc175666940 \h </w:instrText>
            </w:r>
            <w:r w:rsidR="00BF6DE6">
              <w:rPr>
                <w:noProof/>
                <w:webHidden/>
              </w:rPr>
            </w:r>
            <w:r w:rsidR="00BF6DE6">
              <w:rPr>
                <w:noProof/>
                <w:webHidden/>
              </w:rPr>
              <w:fldChar w:fldCharType="separate"/>
            </w:r>
            <w:r w:rsidR="00BF6DE6">
              <w:rPr>
                <w:noProof/>
                <w:webHidden/>
              </w:rPr>
              <w:t>8</w:t>
            </w:r>
            <w:r w:rsidR="00BF6DE6">
              <w:rPr>
                <w:noProof/>
                <w:webHidden/>
              </w:rPr>
              <w:fldChar w:fldCharType="end"/>
            </w:r>
          </w:hyperlink>
        </w:p>
        <w:p w14:paraId="67B5DC58" w14:textId="1D2B9ADF" w:rsidR="00BF6DE6" w:rsidRDefault="00064DC3">
          <w:pPr>
            <w:pStyle w:val="TOC1"/>
            <w:rPr>
              <w:rFonts w:asciiTheme="minorHAnsi" w:hAnsiTheme="minorHAnsi"/>
              <w:noProof/>
              <w:sz w:val="22"/>
              <w:lang w:eastAsia="fr-CA"/>
            </w:rPr>
          </w:pPr>
          <w:hyperlink w:anchor="_Toc175666941" w:history="1">
            <w:r w:rsidR="00BF6DE6" w:rsidRPr="00BE284B">
              <w:rPr>
                <w:rStyle w:val="Hyperlink"/>
                <w:noProof/>
              </w:rPr>
              <w:t>4.</w:t>
            </w:r>
            <w:r w:rsidR="00BF6DE6">
              <w:rPr>
                <w:rFonts w:asciiTheme="minorHAnsi" w:hAnsiTheme="minorHAnsi"/>
                <w:noProof/>
                <w:sz w:val="22"/>
                <w:lang w:eastAsia="fr-CA"/>
              </w:rPr>
              <w:tab/>
            </w:r>
            <w:r w:rsidR="00BF6DE6" w:rsidRPr="00BE284B">
              <w:rPr>
                <w:rStyle w:val="Hyperlink"/>
                <w:noProof/>
              </w:rPr>
              <w:t>Approches et stratégies</w:t>
            </w:r>
            <w:r w:rsidR="00BF6DE6">
              <w:rPr>
                <w:noProof/>
                <w:webHidden/>
              </w:rPr>
              <w:tab/>
            </w:r>
            <w:r w:rsidR="00BF6DE6">
              <w:rPr>
                <w:noProof/>
                <w:webHidden/>
              </w:rPr>
              <w:fldChar w:fldCharType="begin"/>
            </w:r>
            <w:r w:rsidR="00BF6DE6">
              <w:rPr>
                <w:noProof/>
                <w:webHidden/>
              </w:rPr>
              <w:instrText xml:space="preserve"> PAGEREF _Toc175666941 \h </w:instrText>
            </w:r>
            <w:r w:rsidR="00BF6DE6">
              <w:rPr>
                <w:noProof/>
                <w:webHidden/>
              </w:rPr>
            </w:r>
            <w:r w:rsidR="00BF6DE6">
              <w:rPr>
                <w:noProof/>
                <w:webHidden/>
              </w:rPr>
              <w:fldChar w:fldCharType="separate"/>
            </w:r>
            <w:r w:rsidR="00BF6DE6">
              <w:rPr>
                <w:noProof/>
                <w:webHidden/>
              </w:rPr>
              <w:t>9</w:t>
            </w:r>
            <w:r w:rsidR="00BF6DE6">
              <w:rPr>
                <w:noProof/>
                <w:webHidden/>
              </w:rPr>
              <w:fldChar w:fldCharType="end"/>
            </w:r>
          </w:hyperlink>
        </w:p>
        <w:p w14:paraId="46D30312" w14:textId="7C5BAAC9" w:rsidR="00BF6DE6" w:rsidRDefault="00064DC3">
          <w:pPr>
            <w:pStyle w:val="TOC2"/>
            <w:rPr>
              <w:rFonts w:asciiTheme="minorHAnsi" w:hAnsiTheme="minorHAnsi"/>
              <w:noProof/>
              <w:sz w:val="22"/>
              <w:lang w:eastAsia="fr-CA"/>
            </w:rPr>
          </w:pPr>
          <w:hyperlink w:anchor="_Toc175666942" w:history="1">
            <w:r w:rsidR="00BF6DE6" w:rsidRPr="00BE284B">
              <w:rPr>
                <w:rStyle w:val="Hyperlink"/>
                <w:noProof/>
              </w:rPr>
              <w:t>Processus d’approvisionnement par invitation à soumissionner</w:t>
            </w:r>
            <w:r w:rsidR="00BF6DE6">
              <w:rPr>
                <w:noProof/>
                <w:webHidden/>
              </w:rPr>
              <w:tab/>
            </w:r>
            <w:r w:rsidR="00BF6DE6">
              <w:rPr>
                <w:noProof/>
                <w:webHidden/>
              </w:rPr>
              <w:fldChar w:fldCharType="begin"/>
            </w:r>
            <w:r w:rsidR="00BF6DE6">
              <w:rPr>
                <w:noProof/>
                <w:webHidden/>
              </w:rPr>
              <w:instrText xml:space="preserve"> PAGEREF _Toc175666942 \h </w:instrText>
            </w:r>
            <w:r w:rsidR="00BF6DE6">
              <w:rPr>
                <w:noProof/>
                <w:webHidden/>
              </w:rPr>
            </w:r>
            <w:r w:rsidR="00BF6DE6">
              <w:rPr>
                <w:noProof/>
                <w:webHidden/>
              </w:rPr>
              <w:fldChar w:fldCharType="separate"/>
            </w:r>
            <w:r w:rsidR="00BF6DE6">
              <w:rPr>
                <w:noProof/>
                <w:webHidden/>
              </w:rPr>
              <w:t>10</w:t>
            </w:r>
            <w:r w:rsidR="00BF6DE6">
              <w:rPr>
                <w:noProof/>
                <w:webHidden/>
              </w:rPr>
              <w:fldChar w:fldCharType="end"/>
            </w:r>
          </w:hyperlink>
        </w:p>
        <w:p w14:paraId="2829A0FB" w14:textId="11E5062F" w:rsidR="00BF6DE6" w:rsidRDefault="00064DC3">
          <w:pPr>
            <w:pStyle w:val="TOC2"/>
            <w:rPr>
              <w:rFonts w:asciiTheme="minorHAnsi" w:hAnsiTheme="minorHAnsi"/>
              <w:noProof/>
              <w:sz w:val="22"/>
              <w:lang w:eastAsia="fr-CA"/>
            </w:rPr>
          </w:pPr>
          <w:hyperlink w:anchor="_Toc175666943" w:history="1">
            <w:r w:rsidR="00BF6DE6" w:rsidRPr="00BE284B">
              <w:rPr>
                <w:rStyle w:val="Hyperlink"/>
                <w:noProof/>
              </w:rPr>
              <w:t>Processus d’approvisionnement concurrentiel ouvert</w:t>
            </w:r>
            <w:r w:rsidR="00BF6DE6">
              <w:rPr>
                <w:noProof/>
                <w:webHidden/>
              </w:rPr>
              <w:tab/>
            </w:r>
            <w:r w:rsidR="00BF6DE6">
              <w:rPr>
                <w:noProof/>
                <w:webHidden/>
              </w:rPr>
              <w:fldChar w:fldCharType="begin"/>
            </w:r>
            <w:r w:rsidR="00BF6DE6">
              <w:rPr>
                <w:noProof/>
                <w:webHidden/>
              </w:rPr>
              <w:instrText xml:space="preserve"> PAGEREF _Toc175666943 \h </w:instrText>
            </w:r>
            <w:r w:rsidR="00BF6DE6">
              <w:rPr>
                <w:noProof/>
                <w:webHidden/>
              </w:rPr>
            </w:r>
            <w:r w:rsidR="00BF6DE6">
              <w:rPr>
                <w:noProof/>
                <w:webHidden/>
              </w:rPr>
              <w:fldChar w:fldCharType="separate"/>
            </w:r>
            <w:r w:rsidR="00BF6DE6">
              <w:rPr>
                <w:noProof/>
                <w:webHidden/>
              </w:rPr>
              <w:t>10</w:t>
            </w:r>
            <w:r w:rsidR="00BF6DE6">
              <w:rPr>
                <w:noProof/>
                <w:webHidden/>
              </w:rPr>
              <w:fldChar w:fldCharType="end"/>
            </w:r>
          </w:hyperlink>
        </w:p>
        <w:p w14:paraId="6011960C" w14:textId="2AC0EA9E" w:rsidR="00BF6DE6" w:rsidRDefault="00064DC3">
          <w:pPr>
            <w:pStyle w:val="TOC2"/>
            <w:rPr>
              <w:rFonts w:asciiTheme="minorHAnsi" w:hAnsiTheme="minorHAnsi"/>
              <w:noProof/>
              <w:sz w:val="22"/>
              <w:lang w:eastAsia="fr-CA"/>
            </w:rPr>
          </w:pPr>
          <w:hyperlink w:anchor="_Toc175666944" w:history="1">
            <w:r w:rsidR="00BF6DE6" w:rsidRPr="00BE284B">
              <w:rPr>
                <w:rStyle w:val="Hyperlink"/>
                <w:noProof/>
              </w:rPr>
              <w:t>Processus d’approvisionnement non concurrentiel</w:t>
            </w:r>
            <w:r w:rsidR="00BF6DE6">
              <w:rPr>
                <w:noProof/>
                <w:webHidden/>
              </w:rPr>
              <w:tab/>
            </w:r>
            <w:r w:rsidR="00BF6DE6">
              <w:rPr>
                <w:noProof/>
                <w:webHidden/>
              </w:rPr>
              <w:fldChar w:fldCharType="begin"/>
            </w:r>
            <w:r w:rsidR="00BF6DE6">
              <w:rPr>
                <w:noProof/>
                <w:webHidden/>
              </w:rPr>
              <w:instrText xml:space="preserve"> PAGEREF _Toc175666944 \h </w:instrText>
            </w:r>
            <w:r w:rsidR="00BF6DE6">
              <w:rPr>
                <w:noProof/>
                <w:webHidden/>
              </w:rPr>
            </w:r>
            <w:r w:rsidR="00BF6DE6">
              <w:rPr>
                <w:noProof/>
                <w:webHidden/>
              </w:rPr>
              <w:fldChar w:fldCharType="separate"/>
            </w:r>
            <w:r w:rsidR="00BF6DE6">
              <w:rPr>
                <w:noProof/>
                <w:webHidden/>
              </w:rPr>
              <w:t>11</w:t>
            </w:r>
            <w:r w:rsidR="00BF6DE6">
              <w:rPr>
                <w:noProof/>
                <w:webHidden/>
              </w:rPr>
              <w:fldChar w:fldCharType="end"/>
            </w:r>
          </w:hyperlink>
        </w:p>
        <w:p w14:paraId="1DB63489" w14:textId="03EFCB5D" w:rsidR="00BF6DE6" w:rsidRDefault="00064DC3">
          <w:pPr>
            <w:pStyle w:val="TOC1"/>
            <w:rPr>
              <w:rFonts w:asciiTheme="minorHAnsi" w:hAnsiTheme="minorHAnsi"/>
              <w:noProof/>
              <w:sz w:val="22"/>
              <w:lang w:eastAsia="fr-CA"/>
            </w:rPr>
          </w:pPr>
          <w:hyperlink w:anchor="_Toc175666945" w:history="1">
            <w:r w:rsidR="00BF6DE6" w:rsidRPr="00BE284B">
              <w:rPr>
                <w:rStyle w:val="Hyperlink"/>
                <w:noProof/>
              </w:rPr>
              <w:t>5.</w:t>
            </w:r>
            <w:r w:rsidR="00BF6DE6">
              <w:rPr>
                <w:rFonts w:asciiTheme="minorHAnsi" w:hAnsiTheme="minorHAnsi"/>
                <w:noProof/>
                <w:sz w:val="22"/>
                <w:lang w:eastAsia="fr-CA"/>
              </w:rPr>
              <w:tab/>
            </w:r>
            <w:r w:rsidR="00BF6DE6" w:rsidRPr="00BE284B">
              <w:rPr>
                <w:rStyle w:val="Hyperlink"/>
                <w:noProof/>
              </w:rPr>
              <w:t>Approche 1 : Approvisionnement d’un montant INFÉRIEUR aux seuils établis dans les accords internationaux commerciaux</w:t>
            </w:r>
            <w:r w:rsidR="00BF6DE6">
              <w:rPr>
                <w:noProof/>
                <w:webHidden/>
              </w:rPr>
              <w:tab/>
            </w:r>
            <w:r w:rsidR="00BF6DE6">
              <w:rPr>
                <w:noProof/>
                <w:webHidden/>
              </w:rPr>
              <w:fldChar w:fldCharType="begin"/>
            </w:r>
            <w:r w:rsidR="00BF6DE6">
              <w:rPr>
                <w:noProof/>
                <w:webHidden/>
              </w:rPr>
              <w:instrText xml:space="preserve"> PAGEREF _Toc175666945 \h </w:instrText>
            </w:r>
            <w:r w:rsidR="00BF6DE6">
              <w:rPr>
                <w:noProof/>
                <w:webHidden/>
              </w:rPr>
            </w:r>
            <w:r w:rsidR="00BF6DE6">
              <w:rPr>
                <w:noProof/>
                <w:webHidden/>
              </w:rPr>
              <w:fldChar w:fldCharType="separate"/>
            </w:r>
            <w:r w:rsidR="00BF6DE6">
              <w:rPr>
                <w:noProof/>
                <w:webHidden/>
              </w:rPr>
              <w:t>13</w:t>
            </w:r>
            <w:r w:rsidR="00BF6DE6">
              <w:rPr>
                <w:noProof/>
                <w:webHidden/>
              </w:rPr>
              <w:fldChar w:fldCharType="end"/>
            </w:r>
          </w:hyperlink>
        </w:p>
        <w:p w14:paraId="720A2E01" w14:textId="64F78D9D" w:rsidR="00BF6DE6" w:rsidRDefault="00064DC3">
          <w:pPr>
            <w:pStyle w:val="TOC2"/>
            <w:rPr>
              <w:rFonts w:asciiTheme="minorHAnsi" w:hAnsiTheme="minorHAnsi"/>
              <w:noProof/>
              <w:sz w:val="22"/>
              <w:lang w:eastAsia="fr-CA"/>
            </w:rPr>
          </w:pPr>
          <w:hyperlink w:anchor="_Toc175666946" w:history="1">
            <w:r w:rsidR="00BF6DE6" w:rsidRPr="00BE284B">
              <w:rPr>
                <w:rStyle w:val="Hyperlink"/>
                <w:noProof/>
              </w:rPr>
              <w:t>Stratégie 1 :  Les organismes publics doivent privilégier les entreprises ontariennes.</w:t>
            </w:r>
            <w:r w:rsidR="00BF6DE6">
              <w:rPr>
                <w:noProof/>
                <w:webHidden/>
              </w:rPr>
              <w:tab/>
            </w:r>
            <w:r w:rsidR="00BF6DE6">
              <w:rPr>
                <w:noProof/>
                <w:webHidden/>
              </w:rPr>
              <w:fldChar w:fldCharType="begin"/>
            </w:r>
            <w:r w:rsidR="00BF6DE6">
              <w:rPr>
                <w:noProof/>
                <w:webHidden/>
              </w:rPr>
              <w:instrText xml:space="preserve"> PAGEREF _Toc175666946 \h </w:instrText>
            </w:r>
            <w:r w:rsidR="00BF6DE6">
              <w:rPr>
                <w:noProof/>
                <w:webHidden/>
              </w:rPr>
            </w:r>
            <w:r w:rsidR="00BF6DE6">
              <w:rPr>
                <w:noProof/>
                <w:webHidden/>
              </w:rPr>
              <w:fldChar w:fldCharType="separate"/>
            </w:r>
            <w:r w:rsidR="00BF6DE6">
              <w:rPr>
                <w:noProof/>
                <w:webHidden/>
              </w:rPr>
              <w:t>13</w:t>
            </w:r>
            <w:r w:rsidR="00BF6DE6">
              <w:rPr>
                <w:noProof/>
                <w:webHidden/>
              </w:rPr>
              <w:fldChar w:fldCharType="end"/>
            </w:r>
          </w:hyperlink>
        </w:p>
        <w:p w14:paraId="0B93CC16" w14:textId="5D1AA6DB" w:rsidR="00BF6DE6" w:rsidRDefault="00064DC3">
          <w:pPr>
            <w:pStyle w:val="TOC1"/>
            <w:rPr>
              <w:rFonts w:asciiTheme="minorHAnsi" w:hAnsiTheme="minorHAnsi"/>
              <w:noProof/>
              <w:sz w:val="22"/>
              <w:lang w:eastAsia="fr-CA"/>
            </w:rPr>
          </w:pPr>
          <w:hyperlink w:anchor="_Toc175666947" w:history="1">
            <w:r w:rsidR="00BF6DE6" w:rsidRPr="00BE284B">
              <w:rPr>
                <w:rStyle w:val="Hyperlink"/>
                <w:noProof/>
              </w:rPr>
              <w:t>6.</w:t>
            </w:r>
            <w:r w:rsidR="00BF6DE6">
              <w:rPr>
                <w:rFonts w:asciiTheme="minorHAnsi" w:hAnsiTheme="minorHAnsi"/>
                <w:noProof/>
                <w:sz w:val="22"/>
                <w:lang w:eastAsia="fr-CA"/>
              </w:rPr>
              <w:tab/>
            </w:r>
            <w:r w:rsidR="00BF6DE6" w:rsidRPr="00BE284B">
              <w:rPr>
                <w:rStyle w:val="Hyperlink"/>
                <w:noProof/>
              </w:rPr>
              <w:t>Approche 2 : Approvisionnement d’un montant INFÉRIEUR aux seuils des accords commerciaux internationaux (et supérieur aux seuils des accords commerciaux nationaux)</w:t>
            </w:r>
            <w:r w:rsidR="00BF6DE6">
              <w:rPr>
                <w:noProof/>
                <w:webHidden/>
              </w:rPr>
              <w:tab/>
            </w:r>
            <w:r w:rsidR="00BF6DE6">
              <w:rPr>
                <w:noProof/>
                <w:webHidden/>
              </w:rPr>
              <w:fldChar w:fldCharType="begin"/>
            </w:r>
            <w:r w:rsidR="00BF6DE6">
              <w:rPr>
                <w:noProof/>
                <w:webHidden/>
              </w:rPr>
              <w:instrText xml:space="preserve"> PAGEREF _Toc175666947 \h </w:instrText>
            </w:r>
            <w:r w:rsidR="00BF6DE6">
              <w:rPr>
                <w:noProof/>
                <w:webHidden/>
              </w:rPr>
            </w:r>
            <w:r w:rsidR="00BF6DE6">
              <w:rPr>
                <w:noProof/>
                <w:webHidden/>
              </w:rPr>
              <w:fldChar w:fldCharType="separate"/>
            </w:r>
            <w:r w:rsidR="00BF6DE6">
              <w:rPr>
                <w:noProof/>
                <w:webHidden/>
              </w:rPr>
              <w:t>17</w:t>
            </w:r>
            <w:r w:rsidR="00BF6DE6">
              <w:rPr>
                <w:noProof/>
                <w:webHidden/>
              </w:rPr>
              <w:fldChar w:fldCharType="end"/>
            </w:r>
          </w:hyperlink>
        </w:p>
        <w:p w14:paraId="400914E0" w14:textId="088B09E8" w:rsidR="00BF6DE6" w:rsidRDefault="00064DC3">
          <w:pPr>
            <w:pStyle w:val="TOC2"/>
            <w:rPr>
              <w:rFonts w:asciiTheme="minorHAnsi" w:hAnsiTheme="minorHAnsi"/>
              <w:noProof/>
              <w:sz w:val="22"/>
              <w:lang w:eastAsia="fr-CA"/>
            </w:rPr>
          </w:pPr>
          <w:hyperlink w:anchor="_Toc175666948" w:history="1">
            <w:r w:rsidR="00BF6DE6" w:rsidRPr="00BE284B">
              <w:rPr>
                <w:rStyle w:val="Hyperlink"/>
                <w:noProof/>
              </w:rPr>
              <w:t>Stratégie 2 : Les organismes publics doivent privilégier les entreprises canadiennes, dans la mesure du possible.</w:t>
            </w:r>
            <w:r w:rsidR="00BF6DE6">
              <w:rPr>
                <w:noProof/>
                <w:webHidden/>
              </w:rPr>
              <w:tab/>
            </w:r>
            <w:r w:rsidR="00BF6DE6">
              <w:rPr>
                <w:noProof/>
                <w:webHidden/>
              </w:rPr>
              <w:fldChar w:fldCharType="begin"/>
            </w:r>
            <w:r w:rsidR="00BF6DE6">
              <w:rPr>
                <w:noProof/>
                <w:webHidden/>
              </w:rPr>
              <w:instrText xml:space="preserve"> PAGEREF _Toc175666948 \h </w:instrText>
            </w:r>
            <w:r w:rsidR="00BF6DE6">
              <w:rPr>
                <w:noProof/>
                <w:webHidden/>
              </w:rPr>
            </w:r>
            <w:r w:rsidR="00BF6DE6">
              <w:rPr>
                <w:noProof/>
                <w:webHidden/>
              </w:rPr>
              <w:fldChar w:fldCharType="separate"/>
            </w:r>
            <w:r w:rsidR="00BF6DE6">
              <w:rPr>
                <w:noProof/>
                <w:webHidden/>
              </w:rPr>
              <w:t>17</w:t>
            </w:r>
            <w:r w:rsidR="00BF6DE6">
              <w:rPr>
                <w:noProof/>
                <w:webHidden/>
              </w:rPr>
              <w:fldChar w:fldCharType="end"/>
            </w:r>
          </w:hyperlink>
        </w:p>
        <w:p w14:paraId="3772A7A6" w14:textId="3A5E121F" w:rsidR="00BF6DE6" w:rsidRDefault="00064DC3">
          <w:pPr>
            <w:pStyle w:val="TOC1"/>
            <w:rPr>
              <w:rFonts w:asciiTheme="minorHAnsi" w:hAnsiTheme="minorHAnsi"/>
              <w:noProof/>
              <w:sz w:val="22"/>
              <w:lang w:eastAsia="fr-CA"/>
            </w:rPr>
          </w:pPr>
          <w:hyperlink w:anchor="_Toc175666949" w:history="1">
            <w:r w:rsidR="00BF6DE6" w:rsidRPr="00BE284B">
              <w:rPr>
                <w:rStyle w:val="Hyperlink"/>
                <w:noProof/>
              </w:rPr>
              <w:t>7.</w:t>
            </w:r>
            <w:r w:rsidR="00BF6DE6">
              <w:rPr>
                <w:rFonts w:asciiTheme="minorHAnsi" w:hAnsiTheme="minorHAnsi"/>
                <w:noProof/>
                <w:sz w:val="22"/>
                <w:lang w:eastAsia="fr-CA"/>
              </w:rPr>
              <w:tab/>
            </w:r>
            <w:r w:rsidR="00BF6DE6" w:rsidRPr="00BE284B">
              <w:rPr>
                <w:rStyle w:val="Hyperlink"/>
                <w:noProof/>
              </w:rPr>
              <w:t>Approche 3 : Approvisionnement d’un montant SUPÉRIEUR aux seuils établis dans les accords internationaux commerciaux</w:t>
            </w:r>
            <w:r w:rsidR="00BF6DE6">
              <w:rPr>
                <w:noProof/>
                <w:webHidden/>
              </w:rPr>
              <w:tab/>
            </w:r>
            <w:r w:rsidR="00BF6DE6">
              <w:rPr>
                <w:noProof/>
                <w:webHidden/>
              </w:rPr>
              <w:fldChar w:fldCharType="begin"/>
            </w:r>
            <w:r w:rsidR="00BF6DE6">
              <w:rPr>
                <w:noProof/>
                <w:webHidden/>
              </w:rPr>
              <w:instrText xml:space="preserve"> PAGEREF _Toc175666949 \h </w:instrText>
            </w:r>
            <w:r w:rsidR="00BF6DE6">
              <w:rPr>
                <w:noProof/>
                <w:webHidden/>
              </w:rPr>
            </w:r>
            <w:r w:rsidR="00BF6DE6">
              <w:rPr>
                <w:noProof/>
                <w:webHidden/>
              </w:rPr>
              <w:fldChar w:fldCharType="separate"/>
            </w:r>
            <w:r w:rsidR="00BF6DE6">
              <w:rPr>
                <w:noProof/>
                <w:webHidden/>
              </w:rPr>
              <w:t>19</w:t>
            </w:r>
            <w:r w:rsidR="00BF6DE6">
              <w:rPr>
                <w:noProof/>
                <w:webHidden/>
              </w:rPr>
              <w:fldChar w:fldCharType="end"/>
            </w:r>
          </w:hyperlink>
        </w:p>
        <w:p w14:paraId="44964FB7" w14:textId="082E7B79" w:rsidR="00BF6DE6" w:rsidRDefault="00064DC3">
          <w:pPr>
            <w:pStyle w:val="TOC2"/>
            <w:rPr>
              <w:rFonts w:asciiTheme="minorHAnsi" w:hAnsiTheme="minorHAnsi"/>
              <w:noProof/>
              <w:sz w:val="22"/>
              <w:lang w:eastAsia="fr-CA"/>
            </w:rPr>
          </w:pPr>
          <w:hyperlink w:anchor="_Toc175666950" w:history="1">
            <w:r w:rsidR="00BF6DE6" w:rsidRPr="00BE284B">
              <w:rPr>
                <w:rStyle w:val="Hyperlink"/>
                <w:noProof/>
              </w:rPr>
              <w:t>Stratégie 3 : Les entités gouvernementales doivent privilégier, dans la mesure du possible, les entreprises des partenaires commerciaux de l’Ontario.</w:t>
            </w:r>
            <w:r w:rsidR="00BF6DE6">
              <w:rPr>
                <w:noProof/>
                <w:webHidden/>
              </w:rPr>
              <w:tab/>
            </w:r>
            <w:r w:rsidR="00BF6DE6">
              <w:rPr>
                <w:noProof/>
                <w:webHidden/>
              </w:rPr>
              <w:fldChar w:fldCharType="begin"/>
            </w:r>
            <w:r w:rsidR="00BF6DE6">
              <w:rPr>
                <w:noProof/>
                <w:webHidden/>
              </w:rPr>
              <w:instrText xml:space="preserve"> PAGEREF _Toc175666950 \h </w:instrText>
            </w:r>
            <w:r w:rsidR="00BF6DE6">
              <w:rPr>
                <w:noProof/>
                <w:webHidden/>
              </w:rPr>
            </w:r>
            <w:r w:rsidR="00BF6DE6">
              <w:rPr>
                <w:noProof/>
                <w:webHidden/>
              </w:rPr>
              <w:fldChar w:fldCharType="separate"/>
            </w:r>
            <w:r w:rsidR="00BF6DE6">
              <w:rPr>
                <w:noProof/>
                <w:webHidden/>
              </w:rPr>
              <w:t>20</w:t>
            </w:r>
            <w:r w:rsidR="00BF6DE6">
              <w:rPr>
                <w:noProof/>
                <w:webHidden/>
              </w:rPr>
              <w:fldChar w:fldCharType="end"/>
            </w:r>
          </w:hyperlink>
        </w:p>
        <w:p w14:paraId="557CF319" w14:textId="5A0D01A2" w:rsidR="00BF6DE6" w:rsidRDefault="00064DC3">
          <w:pPr>
            <w:pStyle w:val="TOC2"/>
            <w:rPr>
              <w:rFonts w:asciiTheme="minorHAnsi" w:hAnsiTheme="minorHAnsi"/>
              <w:noProof/>
              <w:sz w:val="22"/>
              <w:lang w:eastAsia="fr-CA"/>
            </w:rPr>
          </w:pPr>
          <w:hyperlink w:anchor="_Toc175666951" w:history="1">
            <w:r w:rsidR="00BF6DE6" w:rsidRPr="00BE284B">
              <w:rPr>
                <w:rStyle w:val="Hyperlink"/>
                <w:noProof/>
              </w:rPr>
              <w:t>Stratégie 4 : Appliquer des critères nationaux pondérés dans les évaluations d’approvisionnement.</w:t>
            </w:r>
            <w:r w:rsidR="00BF6DE6">
              <w:rPr>
                <w:noProof/>
                <w:webHidden/>
              </w:rPr>
              <w:tab/>
            </w:r>
            <w:r w:rsidR="00BF6DE6">
              <w:rPr>
                <w:noProof/>
                <w:webHidden/>
              </w:rPr>
              <w:fldChar w:fldCharType="begin"/>
            </w:r>
            <w:r w:rsidR="00BF6DE6">
              <w:rPr>
                <w:noProof/>
                <w:webHidden/>
              </w:rPr>
              <w:instrText xml:space="preserve"> PAGEREF _Toc175666951 \h </w:instrText>
            </w:r>
            <w:r w:rsidR="00BF6DE6">
              <w:rPr>
                <w:noProof/>
                <w:webHidden/>
              </w:rPr>
            </w:r>
            <w:r w:rsidR="00BF6DE6">
              <w:rPr>
                <w:noProof/>
                <w:webHidden/>
              </w:rPr>
              <w:fldChar w:fldCharType="separate"/>
            </w:r>
            <w:r w:rsidR="00BF6DE6">
              <w:rPr>
                <w:noProof/>
                <w:webHidden/>
              </w:rPr>
              <w:t>21</w:t>
            </w:r>
            <w:r w:rsidR="00BF6DE6">
              <w:rPr>
                <w:noProof/>
                <w:webHidden/>
              </w:rPr>
              <w:fldChar w:fldCharType="end"/>
            </w:r>
          </w:hyperlink>
        </w:p>
        <w:p w14:paraId="3586FB32" w14:textId="0807D231" w:rsidR="00BF6DE6" w:rsidRDefault="00064DC3">
          <w:pPr>
            <w:pStyle w:val="TOC2"/>
            <w:rPr>
              <w:rFonts w:asciiTheme="minorHAnsi" w:hAnsiTheme="minorHAnsi"/>
              <w:noProof/>
              <w:sz w:val="22"/>
              <w:lang w:eastAsia="fr-CA"/>
            </w:rPr>
          </w:pPr>
          <w:hyperlink w:anchor="_Toc175666952" w:history="1">
            <w:r w:rsidR="00BF6DE6" w:rsidRPr="00BE284B">
              <w:rPr>
                <w:rStyle w:val="Hyperlink"/>
                <w:noProof/>
              </w:rPr>
              <w:t>Stratégie 5 : Inclure une obligation d’IRTB d’une valeur estimative de 50 millions de dollars dans un ou plusieurs secteurs précis</w:t>
            </w:r>
            <w:r w:rsidR="00BF6DE6">
              <w:rPr>
                <w:noProof/>
                <w:webHidden/>
              </w:rPr>
              <w:tab/>
            </w:r>
            <w:r w:rsidR="00BF6DE6">
              <w:rPr>
                <w:noProof/>
                <w:webHidden/>
              </w:rPr>
              <w:fldChar w:fldCharType="begin"/>
            </w:r>
            <w:r w:rsidR="00BF6DE6">
              <w:rPr>
                <w:noProof/>
                <w:webHidden/>
              </w:rPr>
              <w:instrText xml:space="preserve"> PAGEREF _Toc175666952 \h </w:instrText>
            </w:r>
            <w:r w:rsidR="00BF6DE6">
              <w:rPr>
                <w:noProof/>
                <w:webHidden/>
              </w:rPr>
            </w:r>
            <w:r w:rsidR="00BF6DE6">
              <w:rPr>
                <w:noProof/>
                <w:webHidden/>
              </w:rPr>
              <w:fldChar w:fldCharType="separate"/>
            </w:r>
            <w:r w:rsidR="00BF6DE6">
              <w:rPr>
                <w:noProof/>
                <w:webHidden/>
              </w:rPr>
              <w:t>26</w:t>
            </w:r>
            <w:r w:rsidR="00BF6DE6">
              <w:rPr>
                <w:noProof/>
                <w:webHidden/>
              </w:rPr>
              <w:fldChar w:fldCharType="end"/>
            </w:r>
          </w:hyperlink>
        </w:p>
        <w:p w14:paraId="165F8356" w14:textId="4A1AB701" w:rsidR="00BF6DE6" w:rsidRDefault="00064DC3">
          <w:pPr>
            <w:pStyle w:val="TOC1"/>
            <w:rPr>
              <w:rFonts w:asciiTheme="minorHAnsi" w:hAnsiTheme="minorHAnsi"/>
              <w:noProof/>
              <w:sz w:val="22"/>
              <w:lang w:eastAsia="fr-CA"/>
            </w:rPr>
          </w:pPr>
          <w:hyperlink w:anchor="_Toc175666953" w:history="1">
            <w:r w:rsidR="00BF6DE6" w:rsidRPr="00BE284B">
              <w:rPr>
                <w:rStyle w:val="Hyperlink"/>
                <w:noProof/>
              </w:rPr>
              <w:t>8.</w:t>
            </w:r>
            <w:r w:rsidR="00BF6DE6">
              <w:rPr>
                <w:rFonts w:asciiTheme="minorHAnsi" w:hAnsiTheme="minorHAnsi"/>
                <w:noProof/>
                <w:sz w:val="22"/>
                <w:lang w:eastAsia="fr-CA"/>
              </w:rPr>
              <w:tab/>
            </w:r>
            <w:r w:rsidR="00BF6DE6" w:rsidRPr="00BE284B">
              <w:rPr>
                <w:rStyle w:val="Hyperlink"/>
                <w:noProof/>
              </w:rPr>
              <w:t>Exceptions commerciales et dispositions de non-application (processus d’approvisionnement non concurrentiel)</w:t>
            </w:r>
            <w:r w:rsidR="00BF6DE6">
              <w:rPr>
                <w:noProof/>
                <w:webHidden/>
              </w:rPr>
              <w:tab/>
            </w:r>
            <w:r w:rsidR="00BF6DE6">
              <w:rPr>
                <w:noProof/>
                <w:webHidden/>
              </w:rPr>
              <w:fldChar w:fldCharType="begin"/>
            </w:r>
            <w:r w:rsidR="00BF6DE6">
              <w:rPr>
                <w:noProof/>
                <w:webHidden/>
              </w:rPr>
              <w:instrText xml:space="preserve"> PAGEREF _Toc175666953 \h </w:instrText>
            </w:r>
            <w:r w:rsidR="00BF6DE6">
              <w:rPr>
                <w:noProof/>
                <w:webHidden/>
              </w:rPr>
            </w:r>
            <w:r w:rsidR="00BF6DE6">
              <w:rPr>
                <w:noProof/>
                <w:webHidden/>
              </w:rPr>
              <w:fldChar w:fldCharType="separate"/>
            </w:r>
            <w:r w:rsidR="00BF6DE6">
              <w:rPr>
                <w:noProof/>
                <w:webHidden/>
              </w:rPr>
              <w:t>26</w:t>
            </w:r>
            <w:r w:rsidR="00BF6DE6">
              <w:rPr>
                <w:noProof/>
                <w:webHidden/>
              </w:rPr>
              <w:fldChar w:fldCharType="end"/>
            </w:r>
          </w:hyperlink>
        </w:p>
        <w:p w14:paraId="693E295F" w14:textId="4784B7AD" w:rsidR="00BF6DE6" w:rsidRDefault="00064DC3">
          <w:pPr>
            <w:pStyle w:val="TOC2"/>
            <w:rPr>
              <w:rFonts w:asciiTheme="minorHAnsi" w:hAnsiTheme="minorHAnsi"/>
              <w:noProof/>
              <w:sz w:val="22"/>
              <w:lang w:eastAsia="fr-CA"/>
            </w:rPr>
          </w:pPr>
          <w:hyperlink w:anchor="_Toc175666954" w:history="1">
            <w:r w:rsidR="00BF6DE6" w:rsidRPr="00BE284B">
              <w:rPr>
                <w:rStyle w:val="Hyperlink"/>
                <w:noProof/>
              </w:rPr>
              <w:t>Stratégie 6 : Tirer parti des possibilités de non-application ou d’appel d’offres limité prévues dans les accords commerciaux pour privilégier, dans la mesure du possible, une entreprise ontarienne.</w:t>
            </w:r>
            <w:r w:rsidR="00BF6DE6">
              <w:rPr>
                <w:noProof/>
                <w:webHidden/>
              </w:rPr>
              <w:tab/>
            </w:r>
            <w:r w:rsidR="00BF6DE6">
              <w:rPr>
                <w:noProof/>
                <w:webHidden/>
              </w:rPr>
              <w:fldChar w:fldCharType="begin"/>
            </w:r>
            <w:r w:rsidR="00BF6DE6">
              <w:rPr>
                <w:noProof/>
                <w:webHidden/>
              </w:rPr>
              <w:instrText xml:space="preserve"> PAGEREF _Toc175666954 \h </w:instrText>
            </w:r>
            <w:r w:rsidR="00BF6DE6">
              <w:rPr>
                <w:noProof/>
                <w:webHidden/>
              </w:rPr>
            </w:r>
            <w:r w:rsidR="00BF6DE6">
              <w:rPr>
                <w:noProof/>
                <w:webHidden/>
              </w:rPr>
              <w:fldChar w:fldCharType="separate"/>
            </w:r>
            <w:r w:rsidR="00BF6DE6">
              <w:rPr>
                <w:noProof/>
                <w:webHidden/>
              </w:rPr>
              <w:t>26</w:t>
            </w:r>
            <w:r w:rsidR="00BF6DE6">
              <w:rPr>
                <w:noProof/>
                <w:webHidden/>
              </w:rPr>
              <w:fldChar w:fldCharType="end"/>
            </w:r>
          </w:hyperlink>
        </w:p>
        <w:p w14:paraId="10C60505" w14:textId="24912595" w:rsidR="00BF6DE6" w:rsidRDefault="00064DC3">
          <w:pPr>
            <w:pStyle w:val="TOC1"/>
            <w:rPr>
              <w:rFonts w:asciiTheme="minorHAnsi" w:hAnsiTheme="minorHAnsi"/>
              <w:noProof/>
              <w:sz w:val="22"/>
              <w:lang w:eastAsia="fr-CA"/>
            </w:rPr>
          </w:pPr>
          <w:hyperlink w:anchor="_Toc175666955" w:history="1">
            <w:r w:rsidR="00BF6DE6" w:rsidRPr="00BE284B">
              <w:rPr>
                <w:rStyle w:val="Hyperlink"/>
                <w:noProof/>
              </w:rPr>
              <w:t>9.</w:t>
            </w:r>
            <w:r w:rsidR="00BF6DE6">
              <w:rPr>
                <w:rFonts w:asciiTheme="minorHAnsi" w:hAnsiTheme="minorHAnsi"/>
                <w:noProof/>
                <w:sz w:val="22"/>
                <w:lang w:eastAsia="fr-CA"/>
              </w:rPr>
              <w:tab/>
            </w:r>
            <w:r w:rsidR="00BF6DE6" w:rsidRPr="00BE284B">
              <w:rPr>
                <w:rStyle w:val="Hyperlink"/>
                <w:noProof/>
              </w:rPr>
              <w:t>ANNEXES</w:t>
            </w:r>
            <w:r w:rsidR="00BF6DE6">
              <w:rPr>
                <w:noProof/>
                <w:webHidden/>
              </w:rPr>
              <w:tab/>
            </w:r>
            <w:r w:rsidR="00BF6DE6">
              <w:rPr>
                <w:noProof/>
                <w:webHidden/>
              </w:rPr>
              <w:fldChar w:fldCharType="begin"/>
            </w:r>
            <w:r w:rsidR="00BF6DE6">
              <w:rPr>
                <w:noProof/>
                <w:webHidden/>
              </w:rPr>
              <w:instrText xml:space="preserve"> PAGEREF _Toc175666955 \h </w:instrText>
            </w:r>
            <w:r w:rsidR="00BF6DE6">
              <w:rPr>
                <w:noProof/>
                <w:webHidden/>
              </w:rPr>
            </w:r>
            <w:r w:rsidR="00BF6DE6">
              <w:rPr>
                <w:noProof/>
                <w:webHidden/>
              </w:rPr>
              <w:fldChar w:fldCharType="separate"/>
            </w:r>
            <w:r w:rsidR="00BF6DE6">
              <w:rPr>
                <w:noProof/>
                <w:webHidden/>
              </w:rPr>
              <w:t>30</w:t>
            </w:r>
            <w:r w:rsidR="00BF6DE6">
              <w:rPr>
                <w:noProof/>
                <w:webHidden/>
              </w:rPr>
              <w:fldChar w:fldCharType="end"/>
            </w:r>
          </w:hyperlink>
        </w:p>
        <w:p w14:paraId="17BB4CB0" w14:textId="60CEB54D" w:rsidR="00BF6DE6" w:rsidRDefault="00064DC3">
          <w:pPr>
            <w:pStyle w:val="TOC2"/>
            <w:tabs>
              <w:tab w:val="left" w:pos="2332"/>
            </w:tabs>
            <w:rPr>
              <w:rFonts w:asciiTheme="minorHAnsi" w:hAnsiTheme="minorHAnsi"/>
              <w:noProof/>
              <w:sz w:val="22"/>
              <w:lang w:eastAsia="fr-CA"/>
            </w:rPr>
          </w:pPr>
          <w:hyperlink w:anchor="_Toc175666956" w:history="1">
            <w:r w:rsidR="00BF6DE6" w:rsidRPr="00BE284B">
              <w:rPr>
                <w:rStyle w:val="Hyperlink"/>
                <w:noProof/>
              </w:rPr>
              <w:t>Appendix A.1.</w:t>
            </w:r>
            <w:r w:rsidR="00BF6DE6">
              <w:rPr>
                <w:rFonts w:asciiTheme="minorHAnsi" w:hAnsiTheme="minorHAnsi"/>
                <w:noProof/>
                <w:sz w:val="22"/>
                <w:lang w:eastAsia="fr-CA"/>
              </w:rPr>
              <w:tab/>
            </w:r>
            <w:r w:rsidR="00BF6DE6" w:rsidRPr="00BE284B">
              <w:rPr>
                <w:rStyle w:val="Hyperlink"/>
                <w:noProof/>
              </w:rPr>
              <w:t>Critères nationaux pondérés</w:t>
            </w:r>
            <w:r w:rsidR="00BF6DE6">
              <w:rPr>
                <w:noProof/>
                <w:webHidden/>
              </w:rPr>
              <w:tab/>
            </w:r>
            <w:r w:rsidR="00BF6DE6">
              <w:rPr>
                <w:noProof/>
                <w:webHidden/>
              </w:rPr>
              <w:fldChar w:fldCharType="begin"/>
            </w:r>
            <w:r w:rsidR="00BF6DE6">
              <w:rPr>
                <w:noProof/>
                <w:webHidden/>
              </w:rPr>
              <w:instrText xml:space="preserve"> PAGEREF _Toc175666956 \h </w:instrText>
            </w:r>
            <w:r w:rsidR="00BF6DE6">
              <w:rPr>
                <w:noProof/>
                <w:webHidden/>
              </w:rPr>
            </w:r>
            <w:r w:rsidR="00BF6DE6">
              <w:rPr>
                <w:noProof/>
                <w:webHidden/>
              </w:rPr>
              <w:fldChar w:fldCharType="separate"/>
            </w:r>
            <w:r w:rsidR="00BF6DE6">
              <w:rPr>
                <w:noProof/>
                <w:webHidden/>
              </w:rPr>
              <w:t>30</w:t>
            </w:r>
            <w:r w:rsidR="00BF6DE6">
              <w:rPr>
                <w:noProof/>
                <w:webHidden/>
              </w:rPr>
              <w:fldChar w:fldCharType="end"/>
            </w:r>
          </w:hyperlink>
        </w:p>
        <w:p w14:paraId="0779B470" w14:textId="2D93D062" w:rsidR="00BF6DE6" w:rsidRDefault="00064DC3">
          <w:pPr>
            <w:pStyle w:val="TOC2"/>
            <w:tabs>
              <w:tab w:val="left" w:pos="2332"/>
            </w:tabs>
            <w:rPr>
              <w:rFonts w:asciiTheme="minorHAnsi" w:hAnsiTheme="minorHAnsi"/>
              <w:noProof/>
              <w:sz w:val="22"/>
              <w:lang w:eastAsia="fr-CA"/>
            </w:rPr>
          </w:pPr>
          <w:hyperlink w:anchor="_Toc175666957" w:history="1">
            <w:r w:rsidR="00BF6DE6" w:rsidRPr="00BE284B">
              <w:rPr>
                <w:rStyle w:val="Hyperlink"/>
                <w:noProof/>
              </w:rPr>
              <w:t>Appendix A.2.</w:t>
            </w:r>
            <w:r w:rsidR="00BF6DE6">
              <w:rPr>
                <w:rFonts w:asciiTheme="minorHAnsi" w:hAnsiTheme="minorHAnsi"/>
                <w:noProof/>
                <w:sz w:val="22"/>
                <w:lang w:eastAsia="fr-CA"/>
              </w:rPr>
              <w:tab/>
            </w:r>
            <w:r w:rsidR="00BF6DE6" w:rsidRPr="00BE284B">
              <w:rPr>
                <w:rStyle w:val="Hyperlink"/>
                <w:noProof/>
              </w:rPr>
              <w:t>Exemples de critères nationaux pondérés</w:t>
            </w:r>
            <w:r w:rsidR="00BF6DE6">
              <w:rPr>
                <w:noProof/>
                <w:webHidden/>
              </w:rPr>
              <w:tab/>
            </w:r>
            <w:r w:rsidR="00BF6DE6">
              <w:rPr>
                <w:noProof/>
                <w:webHidden/>
              </w:rPr>
              <w:fldChar w:fldCharType="begin"/>
            </w:r>
            <w:r w:rsidR="00BF6DE6">
              <w:rPr>
                <w:noProof/>
                <w:webHidden/>
              </w:rPr>
              <w:instrText xml:space="preserve"> PAGEREF _Toc175666957 \h </w:instrText>
            </w:r>
            <w:r w:rsidR="00BF6DE6">
              <w:rPr>
                <w:noProof/>
                <w:webHidden/>
              </w:rPr>
            </w:r>
            <w:r w:rsidR="00BF6DE6">
              <w:rPr>
                <w:noProof/>
                <w:webHidden/>
              </w:rPr>
              <w:fldChar w:fldCharType="separate"/>
            </w:r>
            <w:r w:rsidR="00BF6DE6">
              <w:rPr>
                <w:noProof/>
                <w:webHidden/>
              </w:rPr>
              <w:t>32</w:t>
            </w:r>
            <w:r w:rsidR="00BF6DE6">
              <w:rPr>
                <w:noProof/>
                <w:webHidden/>
              </w:rPr>
              <w:fldChar w:fldCharType="end"/>
            </w:r>
          </w:hyperlink>
        </w:p>
        <w:p w14:paraId="630BDE83" w14:textId="66CF7DFF" w:rsidR="00BF6DE6" w:rsidRDefault="00064DC3">
          <w:pPr>
            <w:pStyle w:val="TOC2"/>
            <w:rPr>
              <w:rFonts w:asciiTheme="minorHAnsi" w:hAnsiTheme="minorHAnsi"/>
              <w:noProof/>
              <w:sz w:val="22"/>
              <w:lang w:eastAsia="fr-CA"/>
            </w:rPr>
          </w:pPr>
          <w:hyperlink w:anchor="_Toc175666958" w:history="1">
            <w:r w:rsidR="00BF6DE6" w:rsidRPr="00BE284B">
              <w:rPr>
                <w:rStyle w:val="Hyperlink"/>
                <w:noProof/>
              </w:rPr>
              <w:t>Annexe B : Exemple d’application des critères nationaux pondérés dans les évaluations de l’approvisionnement</w:t>
            </w:r>
            <w:r w:rsidR="00BF6DE6">
              <w:rPr>
                <w:noProof/>
                <w:webHidden/>
              </w:rPr>
              <w:tab/>
            </w:r>
            <w:r w:rsidR="00BF6DE6">
              <w:rPr>
                <w:noProof/>
                <w:webHidden/>
              </w:rPr>
              <w:fldChar w:fldCharType="begin"/>
            </w:r>
            <w:r w:rsidR="00BF6DE6">
              <w:rPr>
                <w:noProof/>
                <w:webHidden/>
              </w:rPr>
              <w:instrText xml:space="preserve"> PAGEREF _Toc175666958 \h </w:instrText>
            </w:r>
            <w:r w:rsidR="00BF6DE6">
              <w:rPr>
                <w:noProof/>
                <w:webHidden/>
              </w:rPr>
            </w:r>
            <w:r w:rsidR="00BF6DE6">
              <w:rPr>
                <w:noProof/>
                <w:webHidden/>
              </w:rPr>
              <w:fldChar w:fldCharType="separate"/>
            </w:r>
            <w:r w:rsidR="00BF6DE6">
              <w:rPr>
                <w:noProof/>
                <w:webHidden/>
              </w:rPr>
              <w:t>42</w:t>
            </w:r>
            <w:r w:rsidR="00BF6DE6">
              <w:rPr>
                <w:noProof/>
                <w:webHidden/>
              </w:rPr>
              <w:fldChar w:fldCharType="end"/>
            </w:r>
          </w:hyperlink>
        </w:p>
        <w:p w14:paraId="59643FC6" w14:textId="0C4C5E6F" w:rsidR="00BF6DE6" w:rsidRDefault="00064DC3">
          <w:pPr>
            <w:pStyle w:val="TOC2"/>
            <w:rPr>
              <w:rFonts w:asciiTheme="minorHAnsi" w:hAnsiTheme="minorHAnsi"/>
              <w:noProof/>
              <w:sz w:val="22"/>
              <w:lang w:eastAsia="fr-CA"/>
            </w:rPr>
          </w:pPr>
          <w:hyperlink w:anchor="_Toc175666959" w:history="1">
            <w:r w:rsidR="00BF6DE6" w:rsidRPr="00BE284B">
              <w:rPr>
                <w:rStyle w:val="Hyperlink"/>
                <w:noProof/>
              </w:rPr>
              <w:t>Annexe C : Liste des accords commerciaux et des pays membres</w:t>
            </w:r>
            <w:r w:rsidR="00BF6DE6">
              <w:rPr>
                <w:noProof/>
                <w:webHidden/>
              </w:rPr>
              <w:tab/>
            </w:r>
            <w:r w:rsidR="00BF6DE6">
              <w:rPr>
                <w:noProof/>
                <w:webHidden/>
              </w:rPr>
              <w:fldChar w:fldCharType="begin"/>
            </w:r>
            <w:r w:rsidR="00BF6DE6">
              <w:rPr>
                <w:noProof/>
                <w:webHidden/>
              </w:rPr>
              <w:instrText xml:space="preserve"> PAGEREF _Toc175666959 \h </w:instrText>
            </w:r>
            <w:r w:rsidR="00BF6DE6">
              <w:rPr>
                <w:noProof/>
                <w:webHidden/>
              </w:rPr>
            </w:r>
            <w:r w:rsidR="00BF6DE6">
              <w:rPr>
                <w:noProof/>
                <w:webHidden/>
              </w:rPr>
              <w:fldChar w:fldCharType="separate"/>
            </w:r>
            <w:r w:rsidR="00BF6DE6">
              <w:rPr>
                <w:noProof/>
                <w:webHidden/>
              </w:rPr>
              <w:t>43</w:t>
            </w:r>
            <w:r w:rsidR="00BF6DE6">
              <w:rPr>
                <w:noProof/>
                <w:webHidden/>
              </w:rPr>
              <w:fldChar w:fldCharType="end"/>
            </w:r>
          </w:hyperlink>
        </w:p>
        <w:p w14:paraId="75EF7641" w14:textId="3EC78659" w:rsidR="00BF6DE6" w:rsidRDefault="00064DC3">
          <w:pPr>
            <w:pStyle w:val="TOC2"/>
            <w:rPr>
              <w:rFonts w:asciiTheme="minorHAnsi" w:hAnsiTheme="minorHAnsi"/>
              <w:noProof/>
              <w:sz w:val="22"/>
              <w:lang w:eastAsia="fr-CA"/>
            </w:rPr>
          </w:pPr>
          <w:hyperlink w:anchor="_Toc175666960" w:history="1">
            <w:r w:rsidR="00BF6DE6" w:rsidRPr="00BE284B">
              <w:rPr>
                <w:rStyle w:val="Hyperlink"/>
                <w:noProof/>
              </w:rPr>
              <w:t>Annexe D : La stratégie de l’IDEO en un coup d’œil pour les acheteurs de la FPO</w:t>
            </w:r>
            <w:r w:rsidR="00BF6DE6">
              <w:rPr>
                <w:noProof/>
                <w:webHidden/>
              </w:rPr>
              <w:tab/>
            </w:r>
            <w:r w:rsidR="00BF6DE6">
              <w:rPr>
                <w:noProof/>
                <w:webHidden/>
              </w:rPr>
              <w:fldChar w:fldCharType="begin"/>
            </w:r>
            <w:r w:rsidR="00BF6DE6">
              <w:rPr>
                <w:noProof/>
                <w:webHidden/>
              </w:rPr>
              <w:instrText xml:space="preserve"> PAGEREF _Toc175666960 \h </w:instrText>
            </w:r>
            <w:r w:rsidR="00BF6DE6">
              <w:rPr>
                <w:noProof/>
                <w:webHidden/>
              </w:rPr>
            </w:r>
            <w:r w:rsidR="00BF6DE6">
              <w:rPr>
                <w:noProof/>
                <w:webHidden/>
              </w:rPr>
              <w:fldChar w:fldCharType="separate"/>
            </w:r>
            <w:r w:rsidR="00BF6DE6">
              <w:rPr>
                <w:noProof/>
                <w:webHidden/>
              </w:rPr>
              <w:t>47</w:t>
            </w:r>
            <w:r w:rsidR="00BF6DE6">
              <w:rPr>
                <w:noProof/>
                <w:webHidden/>
              </w:rPr>
              <w:fldChar w:fldCharType="end"/>
            </w:r>
          </w:hyperlink>
        </w:p>
        <w:p w14:paraId="7E9887F5" w14:textId="2C024BB3" w:rsidR="00BF6DE6" w:rsidRDefault="00064DC3">
          <w:pPr>
            <w:pStyle w:val="TOC2"/>
            <w:rPr>
              <w:rFonts w:asciiTheme="minorHAnsi" w:hAnsiTheme="minorHAnsi"/>
              <w:noProof/>
              <w:sz w:val="22"/>
              <w:lang w:eastAsia="fr-CA"/>
            </w:rPr>
          </w:pPr>
          <w:hyperlink w:anchor="_Toc175666961" w:history="1">
            <w:r w:rsidR="00BF6DE6" w:rsidRPr="00BE284B">
              <w:rPr>
                <w:rStyle w:val="Hyperlink"/>
                <w:noProof/>
              </w:rPr>
              <w:t>Annexe E : La stratégie de l’IDEO en un coup d’œil pour les acheteurs du secteur parapublic</w:t>
            </w:r>
            <w:r w:rsidR="00BF6DE6">
              <w:rPr>
                <w:noProof/>
                <w:webHidden/>
              </w:rPr>
              <w:tab/>
            </w:r>
            <w:r w:rsidR="00BF6DE6">
              <w:rPr>
                <w:noProof/>
                <w:webHidden/>
              </w:rPr>
              <w:fldChar w:fldCharType="begin"/>
            </w:r>
            <w:r w:rsidR="00BF6DE6">
              <w:rPr>
                <w:noProof/>
                <w:webHidden/>
              </w:rPr>
              <w:instrText xml:space="preserve"> PAGEREF _Toc175666961 \h </w:instrText>
            </w:r>
            <w:r w:rsidR="00BF6DE6">
              <w:rPr>
                <w:noProof/>
                <w:webHidden/>
              </w:rPr>
            </w:r>
            <w:r w:rsidR="00BF6DE6">
              <w:rPr>
                <w:noProof/>
                <w:webHidden/>
              </w:rPr>
              <w:fldChar w:fldCharType="separate"/>
            </w:r>
            <w:r w:rsidR="00BF6DE6">
              <w:rPr>
                <w:noProof/>
                <w:webHidden/>
              </w:rPr>
              <w:t>48</w:t>
            </w:r>
            <w:r w:rsidR="00BF6DE6">
              <w:rPr>
                <w:noProof/>
                <w:webHidden/>
              </w:rPr>
              <w:fldChar w:fldCharType="end"/>
            </w:r>
          </w:hyperlink>
        </w:p>
        <w:p w14:paraId="3CA4B505" w14:textId="43382072" w:rsidR="00BF6DE6" w:rsidRDefault="00064DC3">
          <w:pPr>
            <w:pStyle w:val="TOC2"/>
            <w:rPr>
              <w:rFonts w:asciiTheme="minorHAnsi" w:hAnsiTheme="minorHAnsi"/>
              <w:noProof/>
              <w:sz w:val="22"/>
              <w:lang w:eastAsia="fr-CA"/>
            </w:rPr>
          </w:pPr>
          <w:hyperlink w:anchor="_Toc175666962" w:history="1">
            <w:r w:rsidR="00BF6DE6" w:rsidRPr="00BE284B">
              <w:rPr>
                <w:rStyle w:val="Hyperlink"/>
                <w:noProof/>
              </w:rPr>
              <w:t>Annexe F : seuils des accords commerciaux</w:t>
            </w:r>
            <w:r w:rsidR="00BF6DE6">
              <w:rPr>
                <w:noProof/>
                <w:webHidden/>
              </w:rPr>
              <w:tab/>
            </w:r>
            <w:r w:rsidR="00BF6DE6">
              <w:rPr>
                <w:noProof/>
                <w:webHidden/>
              </w:rPr>
              <w:fldChar w:fldCharType="begin"/>
            </w:r>
            <w:r w:rsidR="00BF6DE6">
              <w:rPr>
                <w:noProof/>
                <w:webHidden/>
              </w:rPr>
              <w:instrText xml:space="preserve"> PAGEREF _Toc175666962 \h </w:instrText>
            </w:r>
            <w:r w:rsidR="00BF6DE6">
              <w:rPr>
                <w:noProof/>
                <w:webHidden/>
              </w:rPr>
            </w:r>
            <w:r w:rsidR="00BF6DE6">
              <w:rPr>
                <w:noProof/>
                <w:webHidden/>
              </w:rPr>
              <w:fldChar w:fldCharType="separate"/>
            </w:r>
            <w:r w:rsidR="00BF6DE6">
              <w:rPr>
                <w:noProof/>
                <w:webHidden/>
              </w:rPr>
              <w:t>50</w:t>
            </w:r>
            <w:r w:rsidR="00BF6DE6">
              <w:rPr>
                <w:noProof/>
                <w:webHidden/>
              </w:rPr>
              <w:fldChar w:fldCharType="end"/>
            </w:r>
          </w:hyperlink>
        </w:p>
        <w:p w14:paraId="23338193" w14:textId="10927109" w:rsidR="007C357B" w:rsidRPr="000202DB" w:rsidRDefault="009D798B" w:rsidP="009D798B">
          <w:pPr>
            <w:jc w:val="center"/>
          </w:pPr>
          <w:r>
            <w:fldChar w:fldCharType="end"/>
          </w:r>
        </w:p>
      </w:sdtContent>
    </w:sdt>
    <w:p w14:paraId="6A83D6A5" w14:textId="342DDBD3" w:rsidR="00C67CDA" w:rsidRPr="000202DB" w:rsidRDefault="00C67CDA" w:rsidP="00264B5C">
      <w:pPr>
        <w:tabs>
          <w:tab w:val="left" w:pos="7905"/>
        </w:tabs>
        <w:rPr>
          <w:rFonts w:cs="Arial"/>
          <w:sz w:val="44"/>
        </w:rPr>
      </w:pPr>
    </w:p>
    <w:p w14:paraId="3A7F1D52" w14:textId="34C2D30C" w:rsidR="00C67CDA" w:rsidRPr="000202DB" w:rsidRDefault="00C67CDA" w:rsidP="00264B5C">
      <w:pPr>
        <w:rPr>
          <w:rFonts w:cs="Arial"/>
        </w:rPr>
      </w:pPr>
    </w:p>
    <w:p w14:paraId="3994A49D" w14:textId="5D35E72D" w:rsidR="00E846C6" w:rsidRPr="000202DB" w:rsidRDefault="00E846C6" w:rsidP="00264B5C">
      <w:pPr>
        <w:ind w:hanging="357"/>
        <w:rPr>
          <w:rStyle w:val="Hyperlink"/>
          <w:caps/>
          <w:color w:val="auto"/>
        </w:rPr>
      </w:pPr>
      <w:r>
        <w:br w:type="page"/>
      </w:r>
    </w:p>
    <w:p w14:paraId="36FA5032" w14:textId="77777777" w:rsidR="008E16A8" w:rsidRPr="000202DB" w:rsidRDefault="008E16A8" w:rsidP="00BC679E">
      <w:pPr>
        <w:spacing w:after="240"/>
        <w:rPr>
          <w:b/>
          <w:sz w:val="28"/>
          <w:szCs w:val="28"/>
        </w:rPr>
      </w:pPr>
      <w:r>
        <w:rPr>
          <w:b/>
          <w:sz w:val="28"/>
          <w:szCs w:val="28"/>
        </w:rPr>
        <w:lastRenderedPageBreak/>
        <w:t xml:space="preserve">AVERTISSEMENTS et AVIS DE NON-RESPONSABILITÉ : </w:t>
      </w:r>
    </w:p>
    <w:p w14:paraId="3BFF072D" w14:textId="04A979F7" w:rsidR="009C26D9" w:rsidRPr="000202DB" w:rsidRDefault="009C26D9" w:rsidP="00BC679E">
      <w:pPr>
        <w:pStyle w:val="CommentText"/>
        <w:spacing w:after="240"/>
        <w:rPr>
          <w:rFonts w:eastAsia="Times New Roman" w:cs="Arial"/>
          <w:sz w:val="24"/>
          <w:szCs w:val="24"/>
        </w:rPr>
      </w:pPr>
      <w:r>
        <w:rPr>
          <w:sz w:val="24"/>
          <w:szCs w:val="24"/>
        </w:rPr>
        <w:t xml:space="preserve">Ce document contient des suggestions de conditions contractuelles qui peuvent être utilisées dans les documents d’approvisionnement délivrés par l’Ontario. Les conditions finales utilisées dans tout document d’approvisionnement ou contrat peuvent différer. À ce titre, le présent document ne doit pas être interprété comme créant des droits ou des obligations juridiques applicables à l’Ontario ou à l’un de ses soumissionnaires ou entrepreneurs. En cas de doute, les seules conditions applicables sont celles qui se trouvent dans le document d’approvisionnement ou le contrat régissant expressément la transaction en cause. </w:t>
      </w:r>
    </w:p>
    <w:p w14:paraId="3E5C65D5" w14:textId="15C9724A" w:rsidR="003A41D7" w:rsidRPr="000202DB" w:rsidRDefault="009C26D9" w:rsidP="00264B5C">
      <w:pPr>
        <w:pStyle w:val="CommentText"/>
        <w:spacing w:after="240"/>
        <w:rPr>
          <w:rFonts w:eastAsia="Times New Roman" w:cs="Arial"/>
          <w:sz w:val="24"/>
          <w:szCs w:val="24"/>
        </w:rPr>
      </w:pPr>
      <w:r>
        <w:rPr>
          <w:sz w:val="24"/>
          <w:szCs w:val="24"/>
        </w:rPr>
        <w:t xml:space="preserve">Ces exemples sont fournis pour aider les utilisateurs à s’acquitter de leurs obligations dans le cadre de </w:t>
      </w:r>
      <w:r>
        <w:rPr>
          <w:rStyle w:val="normaltextrun"/>
          <w:sz w:val="24"/>
          <w:szCs w:val="24"/>
          <w:shd w:val="clear" w:color="auto" w:fill="FFFFFF"/>
        </w:rPr>
        <w:t>l’Initiative de centralisation des processus et de la chaîne d’approvisionnement, de l’Initiative de développement des entreprises ontariennes</w:t>
      </w:r>
      <w:r>
        <w:rPr>
          <w:sz w:val="24"/>
          <w:szCs w:val="24"/>
        </w:rPr>
        <w:t xml:space="preserve"> et des directives sur l’approvisionnement pour la fonction publique de l’Ontario (FPO) et pour le secteur parapublic. </w:t>
      </w:r>
    </w:p>
    <w:p w14:paraId="7988F6E4" w14:textId="52AAD2B0" w:rsidR="009C26D9" w:rsidRPr="000202DB" w:rsidRDefault="003575A8" w:rsidP="00264B5C">
      <w:pPr>
        <w:pStyle w:val="CommentText"/>
        <w:spacing w:after="240"/>
        <w:rPr>
          <w:rFonts w:eastAsia="Times New Roman" w:cs="Arial"/>
          <w:sz w:val="24"/>
          <w:szCs w:val="24"/>
        </w:rPr>
      </w:pPr>
      <w:r>
        <w:rPr>
          <w:sz w:val="24"/>
          <w:szCs w:val="24"/>
        </w:rPr>
        <w:t>Les utilisateurs doivent toujours consulter leurs conseillers juridiques et leurs conseillers en approvisionnement et en gestion opérationnelle sur la bonne utilisation de ce document et de son contenu. Les utilisateurs doivent également tenir compte de leurs obligations en vertu des directives sur l’approvisionnement applicables et suivre le processus d’approvisionnement approprié.</w:t>
      </w:r>
    </w:p>
    <w:p w14:paraId="2961DB5F" w14:textId="5B41843D" w:rsidR="0014030E" w:rsidRPr="000202DB" w:rsidRDefault="007C2117" w:rsidP="00264B5C">
      <w:pPr>
        <w:pStyle w:val="CommentText"/>
        <w:spacing w:after="240"/>
        <w:rPr>
          <w:rFonts w:eastAsia="Times New Roman" w:cs="Arial"/>
          <w:sz w:val="24"/>
          <w:szCs w:val="24"/>
        </w:rPr>
      </w:pPr>
      <w:r>
        <w:rPr>
          <w:sz w:val="24"/>
          <w:szCs w:val="24"/>
        </w:rPr>
        <w:t xml:space="preserve">Il est fortement recommandé que tous les utilisateurs lisent et comprennent les stratégies d’approvisionnement de l’Initiative de développement des entreprises ontariennes (IDEO) avant d’inclure l’information dans tout document d’approvisionnement ou accord juridique. Toutes les questions sur l’utilisation ou l’application des stratégies dans le contexte d’un contrat d’approvisionnement donné doivent être adressées aux conseillers du Ministère ou à </w:t>
      </w:r>
      <w:hyperlink r:id="rId11" w:history="1">
        <w:r>
          <w:rPr>
            <w:rStyle w:val="Hyperlink"/>
            <w:sz w:val="24"/>
            <w:szCs w:val="24"/>
          </w:rPr>
          <w:t>doingbusiness@supplyontario.ca</w:t>
        </w:r>
      </w:hyperlink>
      <w:r>
        <w:rPr>
          <w:sz w:val="24"/>
          <w:szCs w:val="24"/>
        </w:rPr>
        <w:t>. La directive sur l’approvisionnement aura préséance en cas d’incohérence entre le contenu du présent guide et la directive.</w:t>
      </w:r>
    </w:p>
    <w:p w14:paraId="269495DC" w14:textId="596F2246" w:rsidR="00140849" w:rsidRPr="003A1AC7" w:rsidRDefault="00140849" w:rsidP="003A1AC7">
      <w:pPr>
        <w:pStyle w:val="Heading1"/>
      </w:pPr>
      <w:bookmarkStart w:id="3" w:name="_Toc140237046"/>
      <w:bookmarkStart w:id="4" w:name="_Toc85441664"/>
      <w:bookmarkStart w:id="5" w:name="_Toc85441762"/>
      <w:bookmarkStart w:id="6" w:name="_Toc85441859"/>
      <w:bookmarkStart w:id="7" w:name="_Toc135389996"/>
      <w:bookmarkStart w:id="8" w:name="_Toc175666936"/>
      <w:bookmarkEnd w:id="3"/>
      <w:bookmarkEnd w:id="4"/>
      <w:bookmarkEnd w:id="5"/>
      <w:bookmarkEnd w:id="6"/>
      <w:bookmarkEnd w:id="7"/>
      <w:r>
        <w:lastRenderedPageBreak/>
        <w:t>Objectif</w:t>
      </w:r>
      <w:bookmarkEnd w:id="8"/>
    </w:p>
    <w:p w14:paraId="06B2F2A6" w14:textId="05F0DAEE" w:rsidR="005F0A04" w:rsidRPr="000202DB" w:rsidRDefault="005F0A04" w:rsidP="00994D08">
      <w:pPr>
        <w:spacing w:before="0" w:after="240"/>
        <w:rPr>
          <w:rFonts w:eastAsia="Times New Roman" w:cs="Arial"/>
          <w:szCs w:val="24"/>
        </w:rPr>
      </w:pPr>
      <w:r>
        <w:rPr>
          <w:rStyle w:val="ui-provider"/>
        </w:rPr>
        <w:t xml:space="preserve">L’Initiative de développement des entreprises ontariennes (IDEO) est un programme de transformation à l’échelle de la province mis au point par le gouvernement pour tirer parti du rôle que les contrats d’approvisionnement de la fonction publique peuvent jouer dans le développement économique. </w:t>
      </w:r>
      <w:r>
        <w:t xml:space="preserve">​L’IDEO égalise les chances pour les entreprises ontariennes en réduisant les obstacles et en offrant </w:t>
      </w:r>
      <w:proofErr w:type="gramStart"/>
      <w:r>
        <w:t>aux un meilleur accès</w:t>
      </w:r>
      <w:proofErr w:type="gramEnd"/>
      <w:r>
        <w:t xml:space="preserve"> aux contrats d’approvisionnement. L’initiative fournit le soutien nécessaire aux entreprises ontariennes pour innover et éventuellement créer des emplois dans les collectivités locales. </w:t>
      </w:r>
      <w:r w:rsidR="002018CF">
        <w:t>Aussi</w:t>
      </w:r>
      <w:r>
        <w:t>, pour renforcer la résilience de la chaîne d’approvisionnement de l’Ontario afin de préparer la province à toute urgence future. L’IDEO est conçue pour permettre à la province de continuer à faire affaire avec ses partenaires d’approvisionnement; tout en répondant aux besoins de l’économie locale.</w:t>
      </w:r>
    </w:p>
    <w:p w14:paraId="66B6DCE8" w14:textId="0F85940F" w:rsidR="00354B5E" w:rsidRPr="000202DB" w:rsidRDefault="0B9D3CBE" w:rsidP="00994D08">
      <w:pPr>
        <w:spacing w:before="0" w:after="240"/>
        <w:rPr>
          <w:rFonts w:eastAsia="Times New Roman" w:cs="Arial"/>
          <w:szCs w:val="24"/>
        </w:rPr>
      </w:pPr>
      <w:r>
        <w:t xml:space="preserve">Ce guide vise à fournir des instructions utiles aux acheteurs sur la façon d’appliquer les stratégies de l’IDEO dans les décisions et les processus d’approvisionnement, conformément à la directive sur l’approvisionnement pour la fonction publique de l’Ontario (FPO) et à la directive sur l’approvisionnement pour le secteur parapublic. Les deux directives ont été mises à jour pour les adapter aux besoins des nouvelles stratégies. </w:t>
      </w:r>
    </w:p>
    <w:p w14:paraId="49A6D084" w14:textId="1A19B042" w:rsidR="00E50E81" w:rsidRPr="000202DB" w:rsidRDefault="00F753BC" w:rsidP="00994D08">
      <w:pPr>
        <w:spacing w:before="0" w:after="240"/>
        <w:rPr>
          <w:szCs w:val="24"/>
        </w:rPr>
      </w:pPr>
      <w:r>
        <w:t>Les étapes du processus d’approvisionnement restent inchangées tout en intégrant les exigences de l’IDEO. Les utilisateurs doivent continuer à utiliser les outils de base existants, les documents d’orientation et la directive sur l’approvisionnement applicable à leur situation pour s’orienter dans l’ensemble du processus d’approvisionnement.</w:t>
      </w:r>
    </w:p>
    <w:p w14:paraId="64DA3E5F" w14:textId="587B140F" w:rsidR="009B1948" w:rsidRPr="000202DB" w:rsidRDefault="009B1948" w:rsidP="003A1AC7">
      <w:pPr>
        <w:pStyle w:val="Heading1"/>
      </w:pPr>
      <w:bookmarkStart w:id="9" w:name="_Toc175666937"/>
      <w:r>
        <w:t>Champ d’application et portée</w:t>
      </w:r>
      <w:bookmarkEnd w:id="9"/>
    </w:p>
    <w:p w14:paraId="7C3050CC" w14:textId="77777777" w:rsidR="00994D08" w:rsidRPr="00994D08" w:rsidRDefault="005E7611" w:rsidP="006F3345">
      <w:pPr>
        <w:pStyle w:val="Heading2"/>
      </w:pPr>
      <w:bookmarkStart w:id="10" w:name="_Toc175666938"/>
      <w:r>
        <w:t>Les exigences de l’IDEO s’appliquent à :</w:t>
      </w:r>
      <w:bookmarkEnd w:id="10"/>
      <w:r>
        <w:t xml:space="preserve"> </w:t>
      </w:r>
    </w:p>
    <w:p w14:paraId="0917C276" w14:textId="75133049" w:rsidR="001D21B9" w:rsidRPr="00994D08" w:rsidRDefault="001D21B9" w:rsidP="00994D08">
      <w:pPr>
        <w:spacing w:before="120" w:after="240"/>
        <w:rPr>
          <w:rFonts w:eastAsia="Times New Roman"/>
          <w:b/>
          <w:bCs/>
        </w:rPr>
      </w:pPr>
      <w:r>
        <w:rPr>
          <w:b/>
          <w:bCs/>
        </w:rPr>
        <w:t>Fonction publique de l’Ontario (FPO)</w:t>
      </w:r>
    </w:p>
    <w:p w14:paraId="6AAD3AEF" w14:textId="77777777" w:rsidR="00F353B3" w:rsidRPr="00994D08" w:rsidRDefault="62D1F861" w:rsidP="00413F5E">
      <w:pPr>
        <w:pStyle w:val="ListParagraph"/>
        <w:numPr>
          <w:ilvl w:val="0"/>
          <w:numId w:val="44"/>
        </w:numPr>
        <w:spacing w:before="120" w:after="240"/>
        <w:rPr>
          <w:rFonts w:eastAsia="Times New Roman" w:cs="Arial"/>
          <w:szCs w:val="24"/>
        </w:rPr>
      </w:pPr>
      <w:r>
        <w:t xml:space="preserve">Ministères </w:t>
      </w:r>
    </w:p>
    <w:p w14:paraId="12BADDA3" w14:textId="77777777" w:rsidR="00F353B3" w:rsidRPr="00994D08" w:rsidRDefault="62D1F861" w:rsidP="00413F5E">
      <w:pPr>
        <w:pStyle w:val="ListParagraph"/>
        <w:numPr>
          <w:ilvl w:val="0"/>
          <w:numId w:val="44"/>
        </w:numPr>
        <w:spacing w:before="120" w:after="240"/>
        <w:rPr>
          <w:rFonts w:eastAsia="Times New Roman" w:cs="Arial"/>
          <w:szCs w:val="24"/>
        </w:rPr>
      </w:pPr>
      <w:r>
        <w:lastRenderedPageBreak/>
        <w:t>Organismes provinciaux</w:t>
      </w:r>
    </w:p>
    <w:p w14:paraId="10C431F7" w14:textId="77777777" w:rsidR="00F353B3" w:rsidRPr="00994D08" w:rsidRDefault="62D1F861" w:rsidP="00413F5E">
      <w:pPr>
        <w:pStyle w:val="ListParagraph"/>
        <w:numPr>
          <w:ilvl w:val="0"/>
          <w:numId w:val="44"/>
        </w:numPr>
        <w:spacing w:before="120" w:after="240"/>
        <w:rPr>
          <w:rFonts w:eastAsia="Times New Roman" w:cs="Arial"/>
          <w:szCs w:val="24"/>
        </w:rPr>
      </w:pPr>
      <w:r>
        <w:t xml:space="preserve">Ontario Power </w:t>
      </w:r>
      <w:proofErr w:type="spellStart"/>
      <w:r>
        <w:t>Generation</w:t>
      </w:r>
      <w:proofErr w:type="spellEnd"/>
    </w:p>
    <w:p w14:paraId="4C360973" w14:textId="069C8320" w:rsidR="001F76AD" w:rsidRPr="00994D08" w:rsidRDefault="62D1F861" w:rsidP="00413F5E">
      <w:pPr>
        <w:pStyle w:val="ListParagraph"/>
        <w:numPr>
          <w:ilvl w:val="0"/>
          <w:numId w:val="44"/>
        </w:numPr>
        <w:spacing w:before="120" w:after="240"/>
        <w:rPr>
          <w:rFonts w:eastAsia="Times New Roman"/>
        </w:rPr>
      </w:pPr>
      <w:r>
        <w:t>Société indépendante d’exploitation du réseau d’électricité</w:t>
      </w:r>
    </w:p>
    <w:p w14:paraId="5A3D9F92" w14:textId="4F640C3B" w:rsidR="0092144E" w:rsidRPr="003556B3" w:rsidRDefault="001D21B9" w:rsidP="00994D08">
      <w:pPr>
        <w:spacing w:before="120" w:after="240"/>
        <w:rPr>
          <w:rFonts w:eastAsia="Times New Roman"/>
          <w:b/>
          <w:bCs/>
        </w:rPr>
      </w:pPr>
      <w:r>
        <w:rPr>
          <w:b/>
          <w:bCs/>
        </w:rPr>
        <w:t>Secteur parapublic</w:t>
      </w:r>
    </w:p>
    <w:p w14:paraId="091F8440" w14:textId="77777777" w:rsidR="0092144E" w:rsidRPr="003556B3" w:rsidRDefault="3F1BA34A" w:rsidP="00413F5E">
      <w:pPr>
        <w:pStyle w:val="ListParagraph"/>
        <w:numPr>
          <w:ilvl w:val="0"/>
          <w:numId w:val="45"/>
        </w:numPr>
        <w:spacing w:before="120" w:after="240"/>
        <w:rPr>
          <w:rFonts w:eastAsia="Times New Roman" w:cs="Arial"/>
          <w:szCs w:val="24"/>
        </w:rPr>
      </w:pPr>
      <w:r>
        <w:t>Hôpitaux</w:t>
      </w:r>
    </w:p>
    <w:p w14:paraId="1921476C" w14:textId="77777777" w:rsidR="0092144E" w:rsidRPr="003556B3" w:rsidRDefault="3F1BA34A" w:rsidP="00413F5E">
      <w:pPr>
        <w:pStyle w:val="ListParagraph"/>
        <w:numPr>
          <w:ilvl w:val="0"/>
          <w:numId w:val="45"/>
        </w:numPr>
        <w:spacing w:before="120" w:after="240"/>
        <w:rPr>
          <w:rFonts w:eastAsia="Times New Roman" w:cs="Arial"/>
          <w:szCs w:val="24"/>
        </w:rPr>
      </w:pPr>
      <w:r>
        <w:t>Conseils scolaires</w:t>
      </w:r>
    </w:p>
    <w:p w14:paraId="2CBDA83E" w14:textId="310D9D35" w:rsidR="0092144E" w:rsidRPr="003556B3" w:rsidRDefault="3F1BA34A" w:rsidP="00413F5E">
      <w:pPr>
        <w:pStyle w:val="ListParagraph"/>
        <w:numPr>
          <w:ilvl w:val="0"/>
          <w:numId w:val="45"/>
        </w:numPr>
        <w:spacing w:before="120" w:after="240"/>
        <w:rPr>
          <w:rFonts w:eastAsia="Times New Roman" w:cs="Arial"/>
          <w:szCs w:val="24"/>
        </w:rPr>
      </w:pPr>
      <w:r>
        <w:t>Collèges et universités</w:t>
      </w:r>
    </w:p>
    <w:p w14:paraId="36B71CC1" w14:textId="77777777" w:rsidR="0092144E" w:rsidRPr="003556B3" w:rsidRDefault="3F1BA34A" w:rsidP="00413F5E">
      <w:pPr>
        <w:pStyle w:val="ListParagraph"/>
        <w:numPr>
          <w:ilvl w:val="0"/>
          <w:numId w:val="45"/>
        </w:numPr>
        <w:spacing w:before="120" w:after="240"/>
        <w:rPr>
          <w:rFonts w:eastAsia="Times New Roman" w:cs="Arial"/>
          <w:szCs w:val="24"/>
        </w:rPr>
      </w:pPr>
      <w:r>
        <w:t>Sociétés d’aide à l’enfance</w:t>
      </w:r>
    </w:p>
    <w:p w14:paraId="29D6F15B" w14:textId="45F7E54D" w:rsidR="0092144E" w:rsidRPr="003556B3" w:rsidRDefault="3F1BA34A" w:rsidP="00413F5E">
      <w:pPr>
        <w:pStyle w:val="ListParagraph"/>
        <w:numPr>
          <w:ilvl w:val="0"/>
          <w:numId w:val="45"/>
        </w:numPr>
        <w:spacing w:before="120" w:after="240"/>
        <w:rPr>
          <w:rFonts w:eastAsia="Times New Roman" w:cs="Arial"/>
          <w:szCs w:val="24"/>
        </w:rPr>
      </w:pPr>
      <w:r>
        <w:t>Services partagés et organisations d’achats groupés</w:t>
      </w:r>
    </w:p>
    <w:p w14:paraId="66063240" w14:textId="11EB5246" w:rsidR="00744028" w:rsidRPr="003556B3" w:rsidRDefault="0B6BB006" w:rsidP="00413F5E">
      <w:pPr>
        <w:pStyle w:val="ListParagraph"/>
        <w:numPr>
          <w:ilvl w:val="0"/>
          <w:numId w:val="45"/>
        </w:numPr>
        <w:spacing w:before="120" w:after="240"/>
        <w:rPr>
          <w:rFonts w:eastAsia="Times New Roman" w:cs="Arial"/>
          <w:szCs w:val="24"/>
        </w:rPr>
      </w:pPr>
      <w:r>
        <w:t>Organismes financés par l’État qui ont reçu des fonds publics de 10 millions de dollars ou plus au cours de l’exercice précédent du gouvernement de l’Ontario.</w:t>
      </w:r>
    </w:p>
    <w:p w14:paraId="073E560A" w14:textId="6469EA85" w:rsidR="00445187" w:rsidRPr="003556B3" w:rsidRDefault="00445187" w:rsidP="006F3345">
      <w:pPr>
        <w:pStyle w:val="Heading2"/>
      </w:pPr>
      <w:bookmarkStart w:id="11" w:name="_Toc175666939"/>
      <w:r>
        <w:t>Quel est le champ d’application?</w:t>
      </w:r>
      <w:bookmarkEnd w:id="11"/>
    </w:p>
    <w:p w14:paraId="4D41D1B1" w14:textId="4867A8E5" w:rsidR="00DA2936" w:rsidRPr="00994D08" w:rsidRDefault="00AB234D" w:rsidP="004335E6">
      <w:pPr>
        <w:spacing w:before="120" w:after="240"/>
        <w:rPr>
          <w:rFonts w:eastAsia="Times New Roman" w:cs="Arial"/>
          <w:szCs w:val="24"/>
        </w:rPr>
      </w:pPr>
      <w:r>
        <w:t>L’Initiative de développement des entreprises ontariennes (IDEO) s’applique à tous les biens et services (services de conseil et autres), sauf si le montant de la commande est inférieur à 121 200 dollars, auquel cas sont exclus :</w:t>
      </w:r>
    </w:p>
    <w:p w14:paraId="71164A97" w14:textId="77777777" w:rsidR="00DA2936" w:rsidRPr="004C5589" w:rsidRDefault="00DA2936" w:rsidP="00413F5E">
      <w:pPr>
        <w:pStyle w:val="ListParagraph"/>
        <w:numPr>
          <w:ilvl w:val="0"/>
          <w:numId w:val="46"/>
        </w:numPr>
        <w:spacing w:before="120" w:after="240"/>
        <w:rPr>
          <w:rFonts w:eastAsia="Times New Roman" w:cs="Arial"/>
          <w:szCs w:val="24"/>
        </w:rPr>
      </w:pPr>
      <w:r>
        <w:t xml:space="preserve">Approvisionnements d’urgence. </w:t>
      </w:r>
    </w:p>
    <w:p w14:paraId="7F387425" w14:textId="38541D9E" w:rsidR="00DA2936" w:rsidRPr="004C5589" w:rsidRDefault="00DA2936" w:rsidP="00413F5E">
      <w:pPr>
        <w:pStyle w:val="ListParagraph"/>
        <w:numPr>
          <w:ilvl w:val="0"/>
          <w:numId w:val="46"/>
        </w:numPr>
        <w:spacing w:before="120" w:after="240"/>
        <w:rPr>
          <w:rFonts w:eastAsia="Times New Roman" w:cs="Arial"/>
          <w:szCs w:val="24"/>
        </w:rPr>
      </w:pPr>
      <w:r>
        <w:t>Approvisionnements auprès de tout fournisseur attitré (deuxième étape).</w:t>
      </w:r>
    </w:p>
    <w:p w14:paraId="33CCA1DC" w14:textId="77777777" w:rsidR="00DA2936" w:rsidRPr="004C5589" w:rsidRDefault="00DA2936" w:rsidP="00413F5E">
      <w:pPr>
        <w:pStyle w:val="ListParagraph"/>
        <w:numPr>
          <w:ilvl w:val="0"/>
          <w:numId w:val="46"/>
        </w:numPr>
        <w:spacing w:before="120" w:after="240"/>
        <w:rPr>
          <w:rFonts w:eastAsia="Times New Roman" w:cs="Arial"/>
          <w:szCs w:val="24"/>
        </w:rPr>
      </w:pPr>
      <w:r>
        <w:t xml:space="preserve">Biens ou services achetés pour la vente ou la revente commerciale ou pour leur utilisation dans la production d’un bien ou d’un service destiné à la vente ou à la revente commerciale. </w:t>
      </w:r>
    </w:p>
    <w:p w14:paraId="4C6A367C" w14:textId="77777777" w:rsidR="00DA2936" w:rsidRPr="004C5589" w:rsidRDefault="00DA2936" w:rsidP="00413F5E">
      <w:pPr>
        <w:pStyle w:val="ListParagraph"/>
        <w:numPr>
          <w:ilvl w:val="0"/>
          <w:numId w:val="46"/>
        </w:numPr>
        <w:spacing w:before="120" w:after="240"/>
        <w:rPr>
          <w:rFonts w:eastAsia="Times New Roman" w:cs="Arial"/>
          <w:szCs w:val="24"/>
        </w:rPr>
      </w:pPr>
      <w:r>
        <w:t xml:space="preserve">Services d’un avocat, d’un parajuriste ou d’un notaire. </w:t>
      </w:r>
    </w:p>
    <w:p w14:paraId="21B90A6A" w14:textId="77777777" w:rsidR="00DA2936" w:rsidRPr="004C5589" w:rsidRDefault="00DA2936" w:rsidP="00413F5E">
      <w:pPr>
        <w:pStyle w:val="ListParagraph"/>
        <w:numPr>
          <w:ilvl w:val="0"/>
          <w:numId w:val="46"/>
        </w:numPr>
        <w:spacing w:before="120" w:after="240"/>
        <w:rPr>
          <w:rFonts w:eastAsia="Times New Roman" w:cs="Arial"/>
          <w:szCs w:val="24"/>
        </w:rPr>
      </w:pPr>
      <w:r>
        <w:t xml:space="preserve">Services d’un témoin expert pour les besoins d’une procédure judiciaire ou juridique. </w:t>
      </w:r>
    </w:p>
    <w:p w14:paraId="52D15667" w14:textId="77777777" w:rsidR="00DA2936" w:rsidRPr="004C5589" w:rsidRDefault="00DA2936" w:rsidP="00413F5E">
      <w:pPr>
        <w:pStyle w:val="ListParagraph"/>
        <w:numPr>
          <w:ilvl w:val="0"/>
          <w:numId w:val="46"/>
        </w:numPr>
        <w:spacing w:before="120" w:after="240"/>
        <w:rPr>
          <w:rFonts w:eastAsia="Times New Roman" w:cs="Arial"/>
          <w:szCs w:val="24"/>
        </w:rPr>
      </w:pPr>
      <w:r>
        <w:t>Un bien ou un service qu’aucune entreprise de l’Ontario n’est en mesure de fournir.</w:t>
      </w:r>
    </w:p>
    <w:p w14:paraId="10AC9AF9" w14:textId="5C232010" w:rsidR="000E22C7" w:rsidRPr="000202DB" w:rsidRDefault="000E22C7" w:rsidP="003A1AC7">
      <w:pPr>
        <w:pStyle w:val="Heading1"/>
      </w:pPr>
      <w:bookmarkStart w:id="12" w:name="_Toc175666940"/>
      <w:bookmarkStart w:id="13" w:name="Definition"/>
      <w:r>
        <w:lastRenderedPageBreak/>
        <w:t>Définitions principales</w:t>
      </w:r>
      <w:bookmarkEnd w:id="12"/>
    </w:p>
    <w:bookmarkEnd w:id="13"/>
    <w:p w14:paraId="0DDF6E65" w14:textId="39BADAE0" w:rsidR="00BB6C9F" w:rsidRPr="00BC60A2" w:rsidRDefault="00C12261" w:rsidP="004335E6">
      <w:pPr>
        <w:spacing w:before="120" w:after="240"/>
        <w:rPr>
          <w:rFonts w:eastAsia="Times New Roman" w:cs="Arial"/>
          <w:szCs w:val="24"/>
        </w:rPr>
      </w:pPr>
      <w:r>
        <w:rPr>
          <w:b/>
          <w:bCs/>
          <w:szCs w:val="24"/>
        </w:rPr>
        <w:t>Remarque :</w:t>
      </w:r>
      <w:r>
        <w:t xml:space="preserve"> En cas de conflit entre l’indicateur de croissance économique (annexe B) de la directive sur l’approvisionnement et la loi, c’est la loi qui prévaut.</w:t>
      </w:r>
    </w:p>
    <w:p w14:paraId="4436CCA2" w14:textId="758ED010" w:rsidR="00000614" w:rsidRDefault="00673D93" w:rsidP="00264B5C">
      <w:pPr>
        <w:spacing w:after="0" w:line="240" w:lineRule="auto"/>
        <w:jc w:val="both"/>
      </w:pPr>
      <w:r>
        <w:rPr>
          <w:b/>
          <w:bCs/>
        </w:rPr>
        <w:t xml:space="preserve">« Entreprise canadienne » </w:t>
      </w:r>
      <w:r>
        <w:t>s’entend comme un fournisseur, un fabricant ou un distributeur de toute structure d’entreprise qui exerce ses activités de façon permanente au Canada. L’entreprise :</w:t>
      </w:r>
    </w:p>
    <w:p w14:paraId="31AD07FC" w14:textId="77777777" w:rsidR="00000614" w:rsidRPr="000C2A60" w:rsidRDefault="00000614" w:rsidP="00413F5E">
      <w:pPr>
        <w:pStyle w:val="ListParagraph"/>
        <w:numPr>
          <w:ilvl w:val="0"/>
          <w:numId w:val="47"/>
        </w:numPr>
        <w:spacing w:before="120" w:after="240"/>
        <w:rPr>
          <w:rFonts w:eastAsia="Times New Roman" w:cs="Arial"/>
          <w:szCs w:val="24"/>
        </w:rPr>
      </w:pPr>
      <w:proofErr w:type="gramStart"/>
      <w:r>
        <w:t>soit</w:t>
      </w:r>
      <w:proofErr w:type="gramEnd"/>
      <w:r>
        <w:t xml:space="preserve"> a son siège social ou son établissement principal dans une province ou un territoire du Canada, </w:t>
      </w:r>
    </w:p>
    <w:p w14:paraId="56180E3C" w14:textId="77777777" w:rsidR="00000614" w:rsidRPr="000C2A60" w:rsidRDefault="00000614" w:rsidP="00413F5E">
      <w:pPr>
        <w:pStyle w:val="ListParagraph"/>
        <w:numPr>
          <w:ilvl w:val="0"/>
          <w:numId w:val="47"/>
        </w:numPr>
        <w:spacing w:before="120" w:after="240"/>
        <w:rPr>
          <w:rFonts w:eastAsia="Times New Roman" w:cs="Arial"/>
          <w:szCs w:val="24"/>
        </w:rPr>
      </w:pPr>
      <w:proofErr w:type="gramStart"/>
      <w:r>
        <w:t>soit</w:t>
      </w:r>
      <w:proofErr w:type="gramEnd"/>
      <w:r>
        <w:t xml:space="preserve"> a au moins 250 employés à temps plein dans une province ou un territoire du Canada lors du processus d’approvisionnement applicable.</w:t>
      </w:r>
    </w:p>
    <w:p w14:paraId="52E2B4DB" w14:textId="425709ED" w:rsidR="00FF2D63" w:rsidRPr="00C6166C" w:rsidRDefault="002D1040" w:rsidP="00264B5C">
      <w:pPr>
        <w:rPr>
          <w:rFonts w:cstheme="minorHAnsi"/>
          <w:szCs w:val="24"/>
        </w:rPr>
      </w:pPr>
      <w:r>
        <w:rPr>
          <w:b/>
          <w:bCs/>
        </w:rPr>
        <w:t xml:space="preserve">« Entreprise ontarienne » </w:t>
      </w:r>
      <w:r>
        <w:t>s’entend comme un fournisseur, un fabricant ou un distributeur de toute structure d’entreprise qui exerce ses activités de façon permanente en Ontario. L’entreprise :</w:t>
      </w:r>
    </w:p>
    <w:p w14:paraId="5E4126C6" w14:textId="77777777" w:rsidR="00FF2D63" w:rsidRPr="00F60EB4" w:rsidRDefault="00FF2D63" w:rsidP="00413F5E">
      <w:pPr>
        <w:pStyle w:val="ListParagraph"/>
        <w:numPr>
          <w:ilvl w:val="0"/>
          <w:numId w:val="47"/>
        </w:numPr>
        <w:spacing w:before="120" w:after="240"/>
        <w:rPr>
          <w:rFonts w:eastAsia="Times New Roman" w:cs="Arial"/>
          <w:szCs w:val="24"/>
        </w:rPr>
      </w:pPr>
      <w:proofErr w:type="gramStart"/>
      <w:r>
        <w:t>soit</w:t>
      </w:r>
      <w:proofErr w:type="gramEnd"/>
      <w:r>
        <w:t xml:space="preserve"> a son siège social ou son établissement principal en Ontario,</w:t>
      </w:r>
    </w:p>
    <w:p w14:paraId="04796561" w14:textId="77777777" w:rsidR="00FF2D63" w:rsidRPr="00F60EB4" w:rsidRDefault="00FF2D63" w:rsidP="00413F5E">
      <w:pPr>
        <w:pStyle w:val="ListParagraph"/>
        <w:numPr>
          <w:ilvl w:val="0"/>
          <w:numId w:val="47"/>
        </w:numPr>
        <w:spacing w:before="120" w:after="240"/>
        <w:rPr>
          <w:rFonts w:eastAsia="Times New Roman" w:cs="Arial"/>
          <w:szCs w:val="24"/>
        </w:rPr>
      </w:pPr>
      <w:proofErr w:type="gramStart"/>
      <w:r>
        <w:t>soit</w:t>
      </w:r>
      <w:proofErr w:type="gramEnd"/>
      <w:r>
        <w:t xml:space="preserve"> a au moins 250 employés à temps plein en Ontario lors du processus d’approvisionnement applicable.</w:t>
      </w:r>
    </w:p>
    <w:p w14:paraId="44C69AB1" w14:textId="7B1C4D53" w:rsidR="00B87F49" w:rsidRDefault="54BFF152" w:rsidP="00BC679E">
      <w:pPr>
        <w:spacing w:after="240" w:line="240" w:lineRule="auto"/>
        <w:rPr>
          <w:rFonts w:eastAsia="Raleway" w:cs="Raleway"/>
        </w:rPr>
      </w:pPr>
      <w:r>
        <w:rPr>
          <w:b/>
          <w:bCs/>
        </w:rPr>
        <w:t>Remarque :</w:t>
      </w:r>
      <w:r>
        <w:t xml:space="preserve"> Cette définition d</w:t>
      </w:r>
      <w:proofErr w:type="gramStart"/>
      <w:r>
        <w:t>’«</w:t>
      </w:r>
      <w:proofErr w:type="gramEnd"/>
      <w:r>
        <w:t xml:space="preserve"> entreprise ontarienne » est prescrite par le règlement d’application de la </w:t>
      </w:r>
      <w:r>
        <w:rPr>
          <w:i/>
          <w:iCs/>
        </w:rPr>
        <w:t>Loi de 2022 sur l’initiative favorisant l’essor des entreprises ontariennes</w:t>
      </w:r>
      <w:r>
        <w:t>.</w:t>
      </w:r>
    </w:p>
    <w:p w14:paraId="56149383" w14:textId="58BC9829" w:rsidR="0087111E" w:rsidRPr="000202DB" w:rsidRDefault="0087111E" w:rsidP="003A1AC7">
      <w:pPr>
        <w:pStyle w:val="Heading1"/>
      </w:pPr>
      <w:bookmarkStart w:id="14" w:name="_Toc175666941"/>
      <w:r>
        <w:t>Approches et stratégies</w:t>
      </w:r>
      <w:bookmarkEnd w:id="14"/>
      <w:r>
        <w:t xml:space="preserve">  </w:t>
      </w:r>
    </w:p>
    <w:p w14:paraId="7034515A" w14:textId="7B7AF54B" w:rsidR="00F139F7" w:rsidRDefault="00B3256B" w:rsidP="00BC679E">
      <w:pPr>
        <w:spacing w:after="240" w:line="240" w:lineRule="auto"/>
        <w:rPr>
          <w:rFonts w:cstheme="minorHAnsi"/>
          <w:szCs w:val="24"/>
        </w:rPr>
      </w:pPr>
      <w:r>
        <w:rPr>
          <w:b/>
          <w:bCs/>
          <w:szCs w:val="24"/>
        </w:rPr>
        <w:t xml:space="preserve">« Soumissionnaire d’une collectivité publique ayant un accord commercial avec l’Ontario » </w:t>
      </w:r>
      <w:r>
        <w:t>désigne un fournisseur d’un pays ou subdivision d’un pays ayant des obligations relatives aux marchés publics dans le cadre d’un accord commercial avec l’Ontario. Remarque : on trouvera la liste complète des collectivités publiques ayant des accords commerciaux avec l’Ontario dans ce guide de l’IDEO à titre de référence (</w:t>
      </w:r>
      <w:hyperlink w:anchor="_Appendix_C:_List_1" w:history="1">
        <w:r>
          <w:rPr>
            <w:rStyle w:val="Hyperlink"/>
          </w:rPr>
          <w:t>annexe C</w:t>
        </w:r>
      </w:hyperlink>
      <w:r>
        <w:t>).</w:t>
      </w:r>
    </w:p>
    <w:p w14:paraId="7D24B851" w14:textId="7FF52DD8" w:rsidR="005C71F2" w:rsidRDefault="005C71F2" w:rsidP="00264B5C">
      <w:pPr>
        <w:spacing w:after="240"/>
        <w:rPr>
          <w:rFonts w:eastAsia="Times New Roman" w:cs="Arial"/>
        </w:rPr>
      </w:pPr>
      <w:bookmarkStart w:id="15" w:name="Overview"/>
      <w:r>
        <w:t>Les tableaux ci-dessous présentent la stratégie de l’IDEO et la méthode d’approvisionnement à employer en fonction de la valeur du contrat.</w:t>
      </w:r>
    </w:p>
    <w:p w14:paraId="694C8EFC" w14:textId="527C7684" w:rsidR="17A7921C" w:rsidRDefault="00D41A72" w:rsidP="006F3345">
      <w:pPr>
        <w:pStyle w:val="Heading2"/>
      </w:pPr>
      <w:bookmarkStart w:id="16" w:name="_Toc175666942"/>
      <w:bookmarkEnd w:id="15"/>
      <w:r>
        <w:lastRenderedPageBreak/>
        <w:t>Processus d’approvisionnement par invitation à soumissionner</w:t>
      </w:r>
      <w:bookmarkEnd w:id="16"/>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685"/>
        <w:gridCol w:w="2977"/>
      </w:tblGrid>
      <w:tr w:rsidR="003B3B74" w14:paraId="6AC8945C" w14:textId="77777777" w:rsidTr="000545A9">
        <w:tc>
          <w:tcPr>
            <w:tcW w:w="3114" w:type="dxa"/>
          </w:tcPr>
          <w:p w14:paraId="0DC693EE" w14:textId="7553299E" w:rsidR="003B3B74" w:rsidRPr="0046520D" w:rsidRDefault="003B3B74" w:rsidP="00264B5C">
            <w:pPr>
              <w:jc w:val="center"/>
              <w:rPr>
                <w:b/>
                <w:bCs/>
              </w:rPr>
            </w:pPr>
            <w:r>
              <w:rPr>
                <w:b/>
                <w:bCs/>
              </w:rPr>
              <w:t xml:space="preserve">Approche </w:t>
            </w:r>
          </w:p>
        </w:tc>
        <w:tc>
          <w:tcPr>
            <w:tcW w:w="3685" w:type="dxa"/>
          </w:tcPr>
          <w:p w14:paraId="1625DC9E" w14:textId="41C410A1" w:rsidR="003B3B74" w:rsidRPr="0046520D" w:rsidRDefault="003B3B74" w:rsidP="00264B5C">
            <w:pPr>
              <w:jc w:val="center"/>
              <w:rPr>
                <w:b/>
                <w:bCs/>
              </w:rPr>
            </w:pPr>
            <w:r>
              <w:rPr>
                <w:b/>
                <w:bCs/>
              </w:rPr>
              <w:t>Stratégie</w:t>
            </w:r>
          </w:p>
        </w:tc>
        <w:tc>
          <w:tcPr>
            <w:tcW w:w="2977" w:type="dxa"/>
          </w:tcPr>
          <w:p w14:paraId="458D53FE" w14:textId="70F1D314" w:rsidR="003B3B74" w:rsidRPr="0046520D" w:rsidRDefault="003B3B74" w:rsidP="00264B5C">
            <w:pPr>
              <w:jc w:val="center"/>
              <w:rPr>
                <w:b/>
                <w:bCs/>
              </w:rPr>
            </w:pPr>
            <w:r>
              <w:rPr>
                <w:b/>
                <w:bCs/>
              </w:rPr>
              <w:t>Seuil</w:t>
            </w:r>
            <w:r w:rsidR="00502E16" w:rsidRPr="0046520D">
              <w:rPr>
                <w:rStyle w:val="FootnoteReference"/>
                <w:b/>
                <w:bCs/>
              </w:rPr>
              <w:footnoteReference w:id="2"/>
            </w:r>
          </w:p>
        </w:tc>
      </w:tr>
      <w:tr w:rsidR="000F145B" w14:paraId="575E17AD" w14:textId="77777777" w:rsidTr="000545A9">
        <w:trPr>
          <w:trHeight w:val="1313"/>
        </w:trPr>
        <w:tc>
          <w:tcPr>
            <w:tcW w:w="3114" w:type="dxa"/>
          </w:tcPr>
          <w:p w14:paraId="1958B69A" w14:textId="1CE46369" w:rsidR="000F145B" w:rsidRPr="0046520D" w:rsidRDefault="000F145B" w:rsidP="00413F5E">
            <w:pPr>
              <w:pStyle w:val="ListParagraph"/>
              <w:numPr>
                <w:ilvl w:val="0"/>
                <w:numId w:val="32"/>
              </w:numPr>
              <w:ind w:left="0"/>
              <w:rPr>
                <w:b/>
                <w:bCs/>
              </w:rPr>
            </w:pPr>
            <w:r>
              <w:rPr>
                <w:b/>
                <w:bCs/>
              </w:rPr>
              <w:t>En dessous des seuils des accords commerciaux nationaux</w:t>
            </w:r>
          </w:p>
          <w:p w14:paraId="2BF07F3D" w14:textId="77777777" w:rsidR="000F145B" w:rsidRDefault="000F145B" w:rsidP="00264B5C">
            <w:pPr>
              <w:rPr>
                <w:b/>
                <w:bCs/>
                <w:u w:val="single"/>
              </w:rPr>
            </w:pPr>
          </w:p>
        </w:tc>
        <w:tc>
          <w:tcPr>
            <w:tcW w:w="3685" w:type="dxa"/>
          </w:tcPr>
          <w:p w14:paraId="29FDA045" w14:textId="77777777" w:rsidR="000F145B" w:rsidRPr="009D40FE" w:rsidRDefault="000F145B" w:rsidP="00413F5E">
            <w:pPr>
              <w:pStyle w:val="ListParagraph"/>
              <w:numPr>
                <w:ilvl w:val="0"/>
                <w:numId w:val="31"/>
              </w:numPr>
              <w:spacing w:after="240"/>
              <w:ind w:left="0"/>
              <w:rPr>
                <w:rFonts w:eastAsia="Times New Roman" w:cs="Arial"/>
              </w:rPr>
            </w:pPr>
            <w:r>
              <w:t>Les organismes publics doivent privilégier les entreprises ontariennes.</w:t>
            </w:r>
          </w:p>
          <w:p w14:paraId="444E1DB4" w14:textId="77777777" w:rsidR="000F145B" w:rsidRDefault="000F145B" w:rsidP="00264B5C">
            <w:pPr>
              <w:rPr>
                <w:b/>
                <w:bCs/>
                <w:u w:val="single"/>
              </w:rPr>
            </w:pPr>
          </w:p>
        </w:tc>
        <w:tc>
          <w:tcPr>
            <w:tcW w:w="2977" w:type="dxa"/>
          </w:tcPr>
          <w:p w14:paraId="24496B4F" w14:textId="77777777" w:rsidR="000F145B" w:rsidRPr="00B42A98" w:rsidRDefault="000F145B" w:rsidP="00264B5C">
            <w:pPr>
              <w:spacing w:before="0" w:after="0" w:line="240" w:lineRule="auto"/>
              <w:rPr>
                <w:b/>
                <w:bCs/>
              </w:rPr>
            </w:pPr>
            <w:r>
              <w:rPr>
                <w:b/>
                <w:bCs/>
              </w:rPr>
              <w:t>FPO</w:t>
            </w:r>
          </w:p>
          <w:p w14:paraId="15F264B8" w14:textId="6DE0B02F" w:rsidR="000F145B" w:rsidRDefault="000F145B" w:rsidP="00264B5C">
            <w:pPr>
              <w:spacing w:before="0" w:after="0" w:line="240" w:lineRule="auto"/>
            </w:pPr>
            <w:r>
              <w:t>Biens – &lt; 30 300 $</w:t>
            </w:r>
          </w:p>
          <w:p w14:paraId="32D08751" w14:textId="77777777" w:rsidR="000F145B" w:rsidRDefault="000F145B" w:rsidP="00264B5C">
            <w:pPr>
              <w:spacing w:before="0" w:after="0" w:line="240" w:lineRule="auto"/>
              <w:rPr>
                <w:b/>
                <w:bCs/>
              </w:rPr>
            </w:pPr>
            <w:r>
              <w:t>Services – &lt; 121 200 $</w:t>
            </w:r>
            <w:r>
              <w:rPr>
                <w:b/>
                <w:bCs/>
              </w:rPr>
              <w:t xml:space="preserve"> </w:t>
            </w:r>
          </w:p>
          <w:p w14:paraId="19E26A1A" w14:textId="77777777" w:rsidR="000F145B" w:rsidRDefault="000F145B" w:rsidP="00264B5C">
            <w:pPr>
              <w:spacing w:before="0" w:after="0" w:line="240" w:lineRule="auto"/>
              <w:rPr>
                <w:b/>
                <w:bCs/>
              </w:rPr>
            </w:pPr>
          </w:p>
          <w:p w14:paraId="1CF2A0C7" w14:textId="57F9814E" w:rsidR="000F145B" w:rsidRPr="00B42A98" w:rsidRDefault="000F145B" w:rsidP="00264B5C">
            <w:pPr>
              <w:spacing w:before="0" w:after="0" w:line="240" w:lineRule="auto"/>
              <w:rPr>
                <w:b/>
                <w:bCs/>
              </w:rPr>
            </w:pPr>
            <w:r>
              <w:rPr>
                <w:b/>
                <w:bCs/>
              </w:rPr>
              <w:t>Secteur parapublic</w:t>
            </w:r>
          </w:p>
          <w:p w14:paraId="03D6545E" w14:textId="230EC205" w:rsidR="000F145B" w:rsidRDefault="000F145B" w:rsidP="00264B5C">
            <w:pPr>
              <w:spacing w:before="0" w:after="0" w:line="240" w:lineRule="auto"/>
              <w:rPr>
                <w:b/>
                <w:bCs/>
                <w:u w:val="single"/>
              </w:rPr>
            </w:pPr>
            <w:r>
              <w:t>Biens et services – &lt; 121 200 $</w:t>
            </w:r>
          </w:p>
        </w:tc>
      </w:tr>
    </w:tbl>
    <w:p w14:paraId="23581169" w14:textId="5B192A1F" w:rsidR="00B5673D" w:rsidRDefault="00D41A72" w:rsidP="006F3345">
      <w:pPr>
        <w:pStyle w:val="Heading2"/>
      </w:pPr>
      <w:bookmarkStart w:id="17" w:name="_Toc175666943"/>
      <w:r>
        <w:t>Processus d’approvisionnement concurrentiel ouvert</w:t>
      </w:r>
      <w:bookmarkEnd w:id="17"/>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827"/>
        <w:gridCol w:w="2977"/>
      </w:tblGrid>
      <w:tr w:rsidR="00B5673D" w:rsidRPr="003B3B74" w14:paraId="2E9FA192" w14:textId="77777777" w:rsidTr="000F145B">
        <w:tc>
          <w:tcPr>
            <w:tcW w:w="2972" w:type="dxa"/>
            <w:tcBorders>
              <w:top w:val="single" w:sz="4" w:space="0" w:color="auto"/>
              <w:left w:val="single" w:sz="4" w:space="0" w:color="auto"/>
              <w:bottom w:val="single" w:sz="4" w:space="0" w:color="auto"/>
              <w:right w:val="single" w:sz="4" w:space="0" w:color="auto"/>
            </w:tcBorders>
          </w:tcPr>
          <w:p w14:paraId="4BC5DB4D" w14:textId="1178375C" w:rsidR="00B5673D" w:rsidRPr="00C60AA6" w:rsidRDefault="00B5673D" w:rsidP="00264B5C">
            <w:pPr>
              <w:jc w:val="center"/>
              <w:rPr>
                <w:b/>
                <w:bCs/>
              </w:rPr>
            </w:pPr>
            <w:r>
              <w:rPr>
                <w:b/>
                <w:bCs/>
              </w:rPr>
              <w:t xml:space="preserve">Approche </w:t>
            </w:r>
          </w:p>
        </w:tc>
        <w:tc>
          <w:tcPr>
            <w:tcW w:w="3827" w:type="dxa"/>
            <w:tcBorders>
              <w:top w:val="single" w:sz="4" w:space="0" w:color="auto"/>
              <w:left w:val="single" w:sz="4" w:space="0" w:color="auto"/>
              <w:bottom w:val="single" w:sz="4" w:space="0" w:color="auto"/>
              <w:right w:val="single" w:sz="4" w:space="0" w:color="auto"/>
            </w:tcBorders>
          </w:tcPr>
          <w:p w14:paraId="007AFE34" w14:textId="77777777" w:rsidR="00B5673D" w:rsidRPr="00C60AA6" w:rsidRDefault="00B5673D" w:rsidP="00264B5C">
            <w:pPr>
              <w:jc w:val="center"/>
              <w:rPr>
                <w:b/>
                <w:bCs/>
              </w:rPr>
            </w:pPr>
            <w:r>
              <w:rPr>
                <w:b/>
                <w:bCs/>
              </w:rPr>
              <w:t>Stratégie</w:t>
            </w:r>
          </w:p>
        </w:tc>
        <w:tc>
          <w:tcPr>
            <w:tcW w:w="2977" w:type="dxa"/>
            <w:tcBorders>
              <w:top w:val="single" w:sz="4" w:space="0" w:color="auto"/>
              <w:left w:val="single" w:sz="4" w:space="0" w:color="auto"/>
              <w:bottom w:val="single" w:sz="4" w:space="0" w:color="auto"/>
              <w:right w:val="single" w:sz="4" w:space="0" w:color="auto"/>
            </w:tcBorders>
          </w:tcPr>
          <w:p w14:paraId="0976D395" w14:textId="77777777" w:rsidR="00B5673D" w:rsidRPr="00C60AA6" w:rsidRDefault="00B5673D" w:rsidP="00264B5C">
            <w:pPr>
              <w:jc w:val="center"/>
              <w:rPr>
                <w:b/>
                <w:bCs/>
              </w:rPr>
            </w:pPr>
            <w:r>
              <w:rPr>
                <w:b/>
                <w:bCs/>
              </w:rPr>
              <w:t>Seuil</w:t>
            </w:r>
          </w:p>
        </w:tc>
      </w:tr>
      <w:tr w:rsidR="000F145B" w14:paraId="34406CE4" w14:textId="77777777" w:rsidTr="0046520D">
        <w:trPr>
          <w:trHeight w:val="2735"/>
        </w:trPr>
        <w:tc>
          <w:tcPr>
            <w:tcW w:w="2972" w:type="dxa"/>
            <w:tcBorders>
              <w:top w:val="single" w:sz="4" w:space="0" w:color="auto"/>
              <w:left w:val="single" w:sz="4" w:space="0" w:color="auto"/>
              <w:bottom w:val="single" w:sz="4" w:space="0" w:color="auto"/>
              <w:right w:val="single" w:sz="4" w:space="0" w:color="auto"/>
            </w:tcBorders>
          </w:tcPr>
          <w:p w14:paraId="2F9F56BF" w14:textId="0C886FE7" w:rsidR="000F145B" w:rsidRPr="0046520D" w:rsidRDefault="000F145B" w:rsidP="00EA492E">
            <w:pPr>
              <w:pStyle w:val="ListParagraph"/>
              <w:spacing w:before="120" w:after="200"/>
              <w:ind w:left="0"/>
              <w:rPr>
                <w:b/>
                <w:bCs/>
              </w:rPr>
            </w:pPr>
            <w:r>
              <w:rPr>
                <w:b/>
                <w:bCs/>
              </w:rPr>
              <w:t>En dessous des seuils des accords commerciaux internationaux, mais au-dessus des seuils des accords commerciaux nationaux</w:t>
            </w:r>
          </w:p>
        </w:tc>
        <w:tc>
          <w:tcPr>
            <w:tcW w:w="3827" w:type="dxa"/>
            <w:tcBorders>
              <w:top w:val="single" w:sz="4" w:space="0" w:color="auto"/>
              <w:left w:val="single" w:sz="4" w:space="0" w:color="auto"/>
              <w:bottom w:val="single" w:sz="4" w:space="0" w:color="auto"/>
              <w:right w:val="single" w:sz="4" w:space="0" w:color="auto"/>
            </w:tcBorders>
          </w:tcPr>
          <w:p w14:paraId="51C35D18" w14:textId="6EC89A70" w:rsidR="000F145B" w:rsidRPr="00E06F02" w:rsidRDefault="000F145B" w:rsidP="00EA492E">
            <w:pPr>
              <w:pStyle w:val="ListParagraph"/>
              <w:spacing w:before="120" w:after="200"/>
              <w:ind w:left="0"/>
            </w:pPr>
            <w:r>
              <w:t>Les organismes publics doivent privilégier les entreprises canadiennes.</w:t>
            </w:r>
          </w:p>
        </w:tc>
        <w:tc>
          <w:tcPr>
            <w:tcW w:w="2977" w:type="dxa"/>
            <w:tcBorders>
              <w:top w:val="single" w:sz="4" w:space="0" w:color="auto"/>
              <w:left w:val="single" w:sz="4" w:space="0" w:color="auto"/>
              <w:bottom w:val="single" w:sz="4" w:space="0" w:color="auto"/>
              <w:right w:val="single" w:sz="4" w:space="0" w:color="auto"/>
            </w:tcBorders>
          </w:tcPr>
          <w:p w14:paraId="27887B2D" w14:textId="77777777" w:rsidR="000F145B" w:rsidRPr="00EA492E" w:rsidRDefault="000F145B" w:rsidP="00EA492E">
            <w:pPr>
              <w:pStyle w:val="ListParagraph"/>
              <w:spacing w:before="120" w:after="200"/>
              <w:ind w:left="0"/>
              <w:rPr>
                <w:b/>
                <w:bCs/>
              </w:rPr>
            </w:pPr>
            <w:r>
              <w:rPr>
                <w:b/>
                <w:bCs/>
              </w:rPr>
              <w:t>FPO</w:t>
            </w:r>
          </w:p>
          <w:p w14:paraId="1B82B139" w14:textId="77777777" w:rsidR="00815F1A" w:rsidRDefault="000F145B" w:rsidP="00EA492E">
            <w:pPr>
              <w:pStyle w:val="ListParagraph"/>
              <w:spacing w:before="120" w:after="200"/>
              <w:ind w:left="0"/>
            </w:pPr>
            <w:r>
              <w:t xml:space="preserve">Biens et services – </w:t>
            </w:r>
          </w:p>
          <w:p w14:paraId="478F5F6C" w14:textId="6A89F9F5" w:rsidR="000F145B" w:rsidRPr="00EA492E" w:rsidRDefault="00C6179B" w:rsidP="00EA492E">
            <w:pPr>
              <w:pStyle w:val="ListParagraph"/>
              <w:spacing w:before="120" w:after="200"/>
              <w:ind w:left="0"/>
            </w:pPr>
            <w:r>
              <w:t>&lt;</w:t>
            </w:r>
            <w:r w:rsidR="000F145B">
              <w:t xml:space="preserve"> 353 300 $ </w:t>
            </w:r>
          </w:p>
          <w:p w14:paraId="14758DD8" w14:textId="77777777" w:rsidR="000F145B" w:rsidRPr="00EA492E" w:rsidRDefault="000F145B" w:rsidP="00EA492E">
            <w:pPr>
              <w:pStyle w:val="ListParagraph"/>
              <w:spacing w:before="120" w:after="200"/>
              <w:ind w:left="0"/>
            </w:pPr>
          </w:p>
          <w:p w14:paraId="6D07B6AD" w14:textId="72A08E07" w:rsidR="000F145B" w:rsidRPr="00EA492E" w:rsidRDefault="000F145B" w:rsidP="00EA492E">
            <w:pPr>
              <w:pStyle w:val="ListParagraph"/>
              <w:spacing w:before="120" w:after="200"/>
              <w:ind w:left="0"/>
              <w:rPr>
                <w:b/>
                <w:bCs/>
              </w:rPr>
            </w:pPr>
            <w:r>
              <w:rPr>
                <w:b/>
                <w:bCs/>
              </w:rPr>
              <w:t>Secteur parapublic</w:t>
            </w:r>
          </w:p>
          <w:p w14:paraId="4179B705" w14:textId="77777777" w:rsidR="00815F1A" w:rsidRDefault="000F145B" w:rsidP="00EA492E">
            <w:pPr>
              <w:pStyle w:val="ListParagraph"/>
              <w:spacing w:before="120" w:after="200"/>
              <w:ind w:left="0"/>
            </w:pPr>
            <w:r>
              <w:t xml:space="preserve">Biens et services – </w:t>
            </w:r>
          </w:p>
          <w:p w14:paraId="08D37BC8" w14:textId="7FD5A075" w:rsidR="000F145B" w:rsidRDefault="000F145B" w:rsidP="00EA492E">
            <w:pPr>
              <w:pStyle w:val="ListParagraph"/>
              <w:spacing w:before="120" w:after="200"/>
              <w:ind w:left="0"/>
              <w:rPr>
                <w:b/>
                <w:bCs/>
                <w:u w:val="single"/>
              </w:rPr>
            </w:pPr>
            <w:r>
              <w:t>&gt; 121 200 $</w:t>
            </w:r>
          </w:p>
        </w:tc>
      </w:tr>
      <w:tr w:rsidR="000F145B" w14:paraId="3A88A1F2" w14:textId="77777777" w:rsidTr="0046520D">
        <w:trPr>
          <w:trHeight w:val="2366"/>
        </w:trPr>
        <w:tc>
          <w:tcPr>
            <w:tcW w:w="2972" w:type="dxa"/>
            <w:tcBorders>
              <w:top w:val="single" w:sz="4" w:space="0" w:color="auto"/>
              <w:left w:val="single" w:sz="4" w:space="0" w:color="auto"/>
              <w:right w:val="single" w:sz="4" w:space="0" w:color="auto"/>
            </w:tcBorders>
          </w:tcPr>
          <w:p w14:paraId="58A7F6CC" w14:textId="12323665" w:rsidR="000F145B" w:rsidRDefault="000F145B" w:rsidP="00EA492E">
            <w:pPr>
              <w:pStyle w:val="ListParagraph"/>
              <w:spacing w:before="120" w:after="200"/>
              <w:ind w:left="0"/>
            </w:pPr>
          </w:p>
        </w:tc>
        <w:tc>
          <w:tcPr>
            <w:tcW w:w="3827" w:type="dxa"/>
            <w:tcBorders>
              <w:top w:val="single" w:sz="4" w:space="0" w:color="auto"/>
              <w:left w:val="single" w:sz="4" w:space="0" w:color="auto"/>
              <w:bottom w:val="single" w:sz="4" w:space="0" w:color="auto"/>
              <w:right w:val="single" w:sz="4" w:space="0" w:color="auto"/>
            </w:tcBorders>
          </w:tcPr>
          <w:p w14:paraId="3EB3C2E8" w14:textId="011649E2" w:rsidR="000F145B" w:rsidRPr="00FE3605" w:rsidRDefault="000F145B" w:rsidP="00EA492E">
            <w:pPr>
              <w:pStyle w:val="ListParagraph"/>
              <w:spacing w:before="120" w:after="200"/>
              <w:ind w:left="0"/>
            </w:pPr>
            <w:r>
              <w:t>Les organismes publics doivent privilégier les entreprises canadiennes et celles des partenaires commerciaux de l’Ontario.</w:t>
            </w:r>
          </w:p>
        </w:tc>
        <w:tc>
          <w:tcPr>
            <w:tcW w:w="2977" w:type="dxa"/>
            <w:tcBorders>
              <w:top w:val="single" w:sz="4" w:space="0" w:color="auto"/>
              <w:left w:val="single" w:sz="4" w:space="0" w:color="auto"/>
              <w:right w:val="single" w:sz="4" w:space="0" w:color="auto"/>
            </w:tcBorders>
          </w:tcPr>
          <w:p w14:paraId="3D83F818" w14:textId="77777777" w:rsidR="000F145B" w:rsidRPr="00194E40" w:rsidRDefault="000F145B" w:rsidP="00264B5C">
            <w:pPr>
              <w:spacing w:before="0" w:after="0" w:line="240" w:lineRule="auto"/>
              <w:rPr>
                <w:b/>
                <w:bCs/>
              </w:rPr>
            </w:pPr>
            <w:r>
              <w:rPr>
                <w:b/>
                <w:bCs/>
              </w:rPr>
              <w:t>FPO</w:t>
            </w:r>
          </w:p>
          <w:p w14:paraId="3E8164D8" w14:textId="77777777" w:rsidR="00815F1A" w:rsidRDefault="000F145B" w:rsidP="00264B5C">
            <w:pPr>
              <w:spacing w:before="0" w:after="0" w:line="240" w:lineRule="auto"/>
            </w:pPr>
            <w:r>
              <w:t xml:space="preserve">Biens et services – </w:t>
            </w:r>
          </w:p>
          <w:p w14:paraId="11407857" w14:textId="756F00DF" w:rsidR="000F145B" w:rsidRDefault="000F145B" w:rsidP="00264B5C">
            <w:pPr>
              <w:spacing w:before="0" w:after="0" w:line="240" w:lineRule="auto"/>
            </w:pPr>
            <w:r>
              <w:t xml:space="preserve">&gt; 353 300 $ </w:t>
            </w:r>
          </w:p>
          <w:p w14:paraId="70EE1528" w14:textId="77777777" w:rsidR="000F145B" w:rsidRDefault="000F145B" w:rsidP="00264B5C">
            <w:pPr>
              <w:spacing w:before="0" w:after="0" w:line="240" w:lineRule="auto"/>
            </w:pPr>
          </w:p>
          <w:p w14:paraId="59F04854" w14:textId="5FB6552A" w:rsidR="000F145B" w:rsidRPr="00525C11" w:rsidRDefault="000F145B" w:rsidP="00264B5C">
            <w:pPr>
              <w:spacing w:before="0" w:after="0" w:line="240" w:lineRule="auto"/>
              <w:rPr>
                <w:b/>
                <w:bCs/>
              </w:rPr>
            </w:pPr>
            <w:r>
              <w:rPr>
                <w:b/>
                <w:bCs/>
              </w:rPr>
              <w:t>Secteur parapublic</w:t>
            </w:r>
          </w:p>
          <w:p w14:paraId="7213ADA2" w14:textId="6F90AF2A" w:rsidR="000F145B" w:rsidRDefault="000F145B" w:rsidP="00264B5C">
            <w:pPr>
              <w:spacing w:before="0" w:after="0" w:line="240" w:lineRule="auto"/>
            </w:pPr>
            <w:r>
              <w:t>Biens et services</w:t>
            </w:r>
            <w:r w:rsidR="00C6179B">
              <w:t xml:space="preserve"> - </w:t>
            </w:r>
          </w:p>
          <w:p w14:paraId="24A59169" w14:textId="77777777" w:rsidR="000F145B" w:rsidRDefault="000F145B" w:rsidP="00264B5C">
            <w:pPr>
              <w:spacing w:before="0"/>
              <w:contextualSpacing/>
              <w:rPr>
                <w:b/>
                <w:bCs/>
                <w:u w:val="single"/>
              </w:rPr>
            </w:pPr>
            <w:r>
              <w:t>&gt; 353 300 $</w:t>
            </w:r>
          </w:p>
          <w:p w14:paraId="11490D1C" w14:textId="1BBDED0B" w:rsidR="000F145B" w:rsidRDefault="000F145B" w:rsidP="00264B5C">
            <w:pPr>
              <w:spacing w:before="0" w:after="0" w:line="240" w:lineRule="auto"/>
              <w:rPr>
                <w:b/>
                <w:bCs/>
                <w:u w:val="single"/>
              </w:rPr>
            </w:pPr>
          </w:p>
        </w:tc>
      </w:tr>
      <w:tr w:rsidR="00FE3605" w14:paraId="6E0797D1" w14:textId="77777777" w:rsidTr="0046520D">
        <w:trPr>
          <w:trHeight w:val="2429"/>
        </w:trPr>
        <w:tc>
          <w:tcPr>
            <w:tcW w:w="2972" w:type="dxa"/>
            <w:tcBorders>
              <w:left w:val="single" w:sz="4" w:space="0" w:color="auto"/>
              <w:right w:val="single" w:sz="4" w:space="0" w:color="auto"/>
            </w:tcBorders>
          </w:tcPr>
          <w:p w14:paraId="37725B2C" w14:textId="22BFFF1F" w:rsidR="00FE3605" w:rsidRPr="0046520D" w:rsidRDefault="00EA492E" w:rsidP="00264B5C">
            <w:pPr>
              <w:rPr>
                <w:b/>
                <w:bCs/>
              </w:rPr>
            </w:pPr>
            <w:r>
              <w:rPr>
                <w:b/>
                <w:bCs/>
              </w:rPr>
              <w:lastRenderedPageBreak/>
              <w:t>Au-dessus des seuils des accords internationaux</w:t>
            </w:r>
          </w:p>
        </w:tc>
        <w:tc>
          <w:tcPr>
            <w:tcW w:w="3827" w:type="dxa"/>
            <w:tcBorders>
              <w:top w:val="single" w:sz="4" w:space="0" w:color="auto"/>
              <w:left w:val="single" w:sz="4" w:space="0" w:color="auto"/>
              <w:bottom w:val="single" w:sz="4" w:space="0" w:color="auto"/>
              <w:right w:val="single" w:sz="4" w:space="0" w:color="auto"/>
            </w:tcBorders>
          </w:tcPr>
          <w:p w14:paraId="6D4044B2" w14:textId="77777777" w:rsidR="000E7C46" w:rsidRDefault="00FE3605" w:rsidP="00EA492E">
            <w:pPr>
              <w:pStyle w:val="ListParagraph"/>
              <w:spacing w:before="120" w:after="200"/>
              <w:ind w:left="0"/>
            </w:pPr>
            <w:r>
              <w:t>Appliquer des critères nationaux pondérés dans les évaluations d’approvisionnement.</w:t>
            </w:r>
          </w:p>
          <w:p w14:paraId="392079C8" w14:textId="11405D19" w:rsidR="000F145B" w:rsidRPr="000F145B" w:rsidRDefault="000F145B" w:rsidP="00EA492E">
            <w:pPr>
              <w:spacing w:before="120" w:after="200"/>
            </w:pPr>
          </w:p>
        </w:tc>
        <w:tc>
          <w:tcPr>
            <w:tcW w:w="2977" w:type="dxa"/>
            <w:tcBorders>
              <w:top w:val="single" w:sz="4" w:space="0" w:color="auto"/>
              <w:left w:val="single" w:sz="4" w:space="0" w:color="auto"/>
              <w:bottom w:val="single" w:sz="4" w:space="0" w:color="auto"/>
              <w:right w:val="single" w:sz="4" w:space="0" w:color="auto"/>
            </w:tcBorders>
          </w:tcPr>
          <w:p w14:paraId="445028A3" w14:textId="77777777" w:rsidR="000F145B" w:rsidRPr="00194E40" w:rsidRDefault="000F145B" w:rsidP="00264B5C">
            <w:pPr>
              <w:spacing w:before="0" w:after="0" w:line="240" w:lineRule="auto"/>
              <w:rPr>
                <w:b/>
                <w:bCs/>
              </w:rPr>
            </w:pPr>
            <w:r>
              <w:rPr>
                <w:b/>
                <w:bCs/>
              </w:rPr>
              <w:t>FPO</w:t>
            </w:r>
          </w:p>
          <w:p w14:paraId="223C3B32" w14:textId="77777777" w:rsidR="00C6179B" w:rsidRDefault="000F145B" w:rsidP="00264B5C">
            <w:pPr>
              <w:spacing w:before="0" w:after="0" w:line="240" w:lineRule="auto"/>
            </w:pPr>
            <w:r>
              <w:t xml:space="preserve">Biens et services – </w:t>
            </w:r>
          </w:p>
          <w:p w14:paraId="5233C709" w14:textId="4A47094A" w:rsidR="000F145B" w:rsidRDefault="000F145B" w:rsidP="00264B5C">
            <w:pPr>
              <w:spacing w:before="0" w:after="0" w:line="240" w:lineRule="auto"/>
            </w:pPr>
            <w:r>
              <w:t xml:space="preserve">&gt; 353 300 $ </w:t>
            </w:r>
          </w:p>
          <w:p w14:paraId="27678B99" w14:textId="77777777" w:rsidR="000F145B" w:rsidRDefault="000F145B" w:rsidP="00264B5C">
            <w:pPr>
              <w:spacing w:before="0" w:after="0" w:line="240" w:lineRule="auto"/>
            </w:pPr>
          </w:p>
          <w:p w14:paraId="4A633291" w14:textId="77777777" w:rsidR="000F145B" w:rsidRPr="00525C11" w:rsidRDefault="000F145B" w:rsidP="00264B5C">
            <w:pPr>
              <w:spacing w:before="0" w:after="0" w:line="240" w:lineRule="auto"/>
              <w:rPr>
                <w:b/>
                <w:bCs/>
              </w:rPr>
            </w:pPr>
            <w:r>
              <w:rPr>
                <w:b/>
                <w:bCs/>
              </w:rPr>
              <w:t>Secteur parapublic</w:t>
            </w:r>
          </w:p>
          <w:p w14:paraId="5A97B12D" w14:textId="77777777" w:rsidR="000F145B" w:rsidRDefault="000F145B" w:rsidP="00264B5C">
            <w:pPr>
              <w:spacing w:before="0" w:after="0" w:line="240" w:lineRule="auto"/>
            </w:pPr>
            <w:r>
              <w:t>Biens et services</w:t>
            </w:r>
          </w:p>
          <w:p w14:paraId="2DECBC7B" w14:textId="14650701" w:rsidR="00FE3605" w:rsidRDefault="000F145B" w:rsidP="0046520D">
            <w:pPr>
              <w:spacing w:before="0"/>
              <w:contextualSpacing/>
              <w:rPr>
                <w:b/>
                <w:bCs/>
                <w:u w:val="single"/>
              </w:rPr>
            </w:pPr>
            <w:r>
              <w:t>&gt; 353 300 $</w:t>
            </w:r>
          </w:p>
        </w:tc>
      </w:tr>
      <w:tr w:rsidR="00FE3605" w14:paraId="3C195788" w14:textId="77777777" w:rsidTr="0046520D">
        <w:tc>
          <w:tcPr>
            <w:tcW w:w="2972" w:type="dxa"/>
            <w:tcBorders>
              <w:left w:val="single" w:sz="4" w:space="0" w:color="auto"/>
              <w:bottom w:val="single" w:sz="4" w:space="0" w:color="auto"/>
              <w:right w:val="single" w:sz="4" w:space="0" w:color="auto"/>
            </w:tcBorders>
          </w:tcPr>
          <w:p w14:paraId="6F9F8B3D" w14:textId="77777777" w:rsidR="00FE3605" w:rsidRDefault="00FE3605" w:rsidP="00264B5C"/>
        </w:tc>
        <w:tc>
          <w:tcPr>
            <w:tcW w:w="3827" w:type="dxa"/>
            <w:tcBorders>
              <w:top w:val="single" w:sz="4" w:space="0" w:color="auto"/>
              <w:left w:val="single" w:sz="4" w:space="0" w:color="auto"/>
              <w:bottom w:val="single" w:sz="4" w:space="0" w:color="auto"/>
              <w:right w:val="single" w:sz="4" w:space="0" w:color="auto"/>
            </w:tcBorders>
          </w:tcPr>
          <w:p w14:paraId="56AD86BD" w14:textId="1B1BD256" w:rsidR="00FE3605" w:rsidRPr="00BA4A33" w:rsidRDefault="00FE3605" w:rsidP="00EA492E">
            <w:pPr>
              <w:pStyle w:val="ListParagraph"/>
              <w:spacing w:before="120" w:after="200"/>
              <w:ind w:left="0"/>
            </w:pPr>
            <w:r>
              <w:t xml:space="preserve">Pour les contrats d’approvisionnement d’une valeur estimative de 50 millions de dollars ou plus dans certains secteurs, il faut inclure une obligation de retombées industrielles, régionales et technologiques (les « IRTB ») pour les fournisseurs. </w:t>
            </w:r>
          </w:p>
        </w:tc>
        <w:tc>
          <w:tcPr>
            <w:tcW w:w="2977" w:type="dxa"/>
            <w:tcBorders>
              <w:top w:val="single" w:sz="4" w:space="0" w:color="auto"/>
              <w:left w:val="single" w:sz="4" w:space="0" w:color="auto"/>
              <w:bottom w:val="single" w:sz="4" w:space="0" w:color="auto"/>
              <w:right w:val="single" w:sz="4" w:space="0" w:color="auto"/>
            </w:tcBorders>
          </w:tcPr>
          <w:p w14:paraId="5A16E9EF" w14:textId="4B3AD3E5" w:rsidR="00FE3605" w:rsidRPr="00C60AA6" w:rsidRDefault="00C72904" w:rsidP="00264B5C">
            <w:pPr>
              <w:rPr>
                <w:b/>
                <w:bCs/>
              </w:rPr>
            </w:pPr>
            <w:r>
              <w:rPr>
                <w:b/>
                <w:bCs/>
              </w:rPr>
              <w:t>50 M$ ou plus</w:t>
            </w:r>
          </w:p>
        </w:tc>
      </w:tr>
    </w:tbl>
    <w:p w14:paraId="44A4984F" w14:textId="77777777" w:rsidR="007445AA" w:rsidRDefault="007445AA" w:rsidP="00264B5C">
      <w:pPr>
        <w:spacing w:before="120"/>
        <w:rPr>
          <w:b/>
          <w:bCs/>
        </w:rPr>
      </w:pPr>
    </w:p>
    <w:p w14:paraId="23522435" w14:textId="7DE3C7C1" w:rsidR="007445AA" w:rsidRPr="003C41D6" w:rsidRDefault="00D41A72" w:rsidP="006F3345">
      <w:pPr>
        <w:pStyle w:val="Heading2"/>
      </w:pPr>
      <w:bookmarkStart w:id="18" w:name="_Toc175666944"/>
      <w:r>
        <w:t>Processus d’approvisionnement non concurrentiel</w:t>
      </w:r>
      <w:bookmarkEnd w:id="18"/>
    </w:p>
    <w:tbl>
      <w:tblPr>
        <w:tblStyle w:val="TableGrid"/>
        <w:tblW w:w="9776" w:type="dxa"/>
        <w:tblInd w:w="-5" w:type="dxa"/>
        <w:tblLook w:val="04A0" w:firstRow="1" w:lastRow="0" w:firstColumn="1" w:lastColumn="0" w:noHBand="0" w:noVBand="1"/>
        <w:tblCaption w:val="Invitational procurement process"/>
        <w:tblDescription w:val="aproach 1 with strategy 1 below trade agreement"/>
      </w:tblPr>
      <w:tblGrid>
        <w:gridCol w:w="2972"/>
        <w:gridCol w:w="3827"/>
        <w:gridCol w:w="2977"/>
      </w:tblGrid>
      <w:tr w:rsidR="007445AA" w:rsidRPr="003B3B74" w14:paraId="6EF7BDDB" w14:textId="77777777" w:rsidTr="002D1704">
        <w:tc>
          <w:tcPr>
            <w:tcW w:w="2972" w:type="dxa"/>
          </w:tcPr>
          <w:p w14:paraId="0E1F183A" w14:textId="77777777" w:rsidR="007445AA" w:rsidRPr="00C60AA6" w:rsidRDefault="007445AA" w:rsidP="00264B5C">
            <w:pPr>
              <w:jc w:val="center"/>
              <w:rPr>
                <w:b/>
                <w:bCs/>
              </w:rPr>
            </w:pPr>
            <w:bookmarkStart w:id="19" w:name="_Toc82601586"/>
            <w:r>
              <w:rPr>
                <w:b/>
                <w:bCs/>
              </w:rPr>
              <w:t xml:space="preserve">Approche </w:t>
            </w:r>
          </w:p>
        </w:tc>
        <w:tc>
          <w:tcPr>
            <w:tcW w:w="3827" w:type="dxa"/>
          </w:tcPr>
          <w:p w14:paraId="59F11A72" w14:textId="77777777" w:rsidR="007445AA" w:rsidRPr="00C60AA6" w:rsidRDefault="007445AA" w:rsidP="00264B5C">
            <w:pPr>
              <w:jc w:val="center"/>
              <w:rPr>
                <w:b/>
                <w:bCs/>
              </w:rPr>
            </w:pPr>
            <w:r>
              <w:rPr>
                <w:b/>
                <w:bCs/>
              </w:rPr>
              <w:t>Stratégie</w:t>
            </w:r>
          </w:p>
        </w:tc>
        <w:tc>
          <w:tcPr>
            <w:tcW w:w="2977" w:type="dxa"/>
          </w:tcPr>
          <w:p w14:paraId="11907C28" w14:textId="77777777" w:rsidR="007445AA" w:rsidRPr="00C60AA6" w:rsidRDefault="007445AA" w:rsidP="00264B5C">
            <w:pPr>
              <w:jc w:val="center"/>
              <w:rPr>
                <w:b/>
                <w:bCs/>
              </w:rPr>
            </w:pPr>
            <w:r>
              <w:rPr>
                <w:b/>
                <w:bCs/>
              </w:rPr>
              <w:t>Seuil</w:t>
            </w:r>
          </w:p>
        </w:tc>
      </w:tr>
      <w:tr w:rsidR="007445AA" w14:paraId="1ECFCF0C" w14:textId="77777777" w:rsidTr="002D1704">
        <w:tc>
          <w:tcPr>
            <w:tcW w:w="2972" w:type="dxa"/>
          </w:tcPr>
          <w:p w14:paraId="4E9162AA" w14:textId="52256CA0" w:rsidR="007445AA" w:rsidRPr="00EA492E" w:rsidRDefault="00865FAC" w:rsidP="008A43DC">
            <w:pPr>
              <w:pStyle w:val="ListParagraph"/>
              <w:spacing w:before="120" w:after="240"/>
              <w:ind w:left="0"/>
            </w:pPr>
            <w:r>
              <w:t>Lorsque s’appliquent des dispositions de non-application ou d’appel d’offres limité</w:t>
            </w:r>
          </w:p>
        </w:tc>
        <w:tc>
          <w:tcPr>
            <w:tcW w:w="3827" w:type="dxa"/>
          </w:tcPr>
          <w:p w14:paraId="3A82E13C" w14:textId="7A2593DE" w:rsidR="007445AA" w:rsidRPr="008A43DC" w:rsidRDefault="00397647" w:rsidP="00AA6E9E">
            <w:pPr>
              <w:spacing w:before="120" w:after="240"/>
            </w:pPr>
            <w:r>
              <w:t>Tirer parti des possibilités de non-application ou d’appel d’offres limité prévues dans les accords commerciaux pour privilégier, dans la mesure du possible, une entreprise ontarienne.</w:t>
            </w:r>
          </w:p>
        </w:tc>
        <w:tc>
          <w:tcPr>
            <w:tcW w:w="2977" w:type="dxa"/>
          </w:tcPr>
          <w:p w14:paraId="4A265206" w14:textId="77777777" w:rsidR="00AA6E9E" w:rsidRPr="00887220" w:rsidRDefault="0417CEE2" w:rsidP="00887220">
            <w:pPr>
              <w:spacing w:before="120" w:after="120"/>
              <w:rPr>
                <w:b/>
                <w:bCs/>
              </w:rPr>
            </w:pPr>
            <w:r>
              <w:rPr>
                <w:b/>
                <w:bCs/>
              </w:rPr>
              <w:t xml:space="preserve">FPO </w:t>
            </w:r>
          </w:p>
          <w:p w14:paraId="6E81DBDE" w14:textId="647DD376" w:rsidR="007445AA" w:rsidRPr="00C60AA6" w:rsidRDefault="0417CEE2" w:rsidP="00887220">
            <w:pPr>
              <w:spacing w:before="0" w:after="240"/>
            </w:pPr>
            <w:r>
              <w:t>Voir la section sur les exceptions autorisées dans la directive sur l’approvisionnement pour la FPO.</w:t>
            </w:r>
          </w:p>
          <w:p w14:paraId="0B03B169" w14:textId="6E20E471" w:rsidR="007445AA" w:rsidRPr="008A43DC" w:rsidRDefault="2363137B" w:rsidP="00887220">
            <w:pPr>
              <w:spacing w:before="120" w:after="120"/>
              <w:rPr>
                <w:b/>
                <w:bCs/>
              </w:rPr>
            </w:pPr>
            <w:r>
              <w:rPr>
                <w:b/>
                <w:bCs/>
              </w:rPr>
              <w:t>Secteur parapublic</w:t>
            </w:r>
          </w:p>
          <w:p w14:paraId="4A078D98" w14:textId="3B2057D9" w:rsidR="007445AA" w:rsidRPr="008A43DC" w:rsidRDefault="2363137B" w:rsidP="00887220">
            <w:pPr>
              <w:spacing w:before="0" w:after="240"/>
            </w:pPr>
            <w:r>
              <w:t>Voir l’accord commercial applicable.</w:t>
            </w:r>
          </w:p>
        </w:tc>
      </w:tr>
    </w:tbl>
    <w:p w14:paraId="2DF148A4" w14:textId="2081B03D" w:rsidR="00277F47" w:rsidRDefault="00277F47" w:rsidP="00264B5C"/>
    <w:p w14:paraId="67CE3C05" w14:textId="6DFCDFAF" w:rsidR="00886B6D" w:rsidRPr="004617FD" w:rsidRDefault="2697FFAB" w:rsidP="003A1AC7">
      <w:pPr>
        <w:pStyle w:val="Heading1"/>
      </w:pPr>
      <w:bookmarkStart w:id="20" w:name="_Toc175666945"/>
      <w:bookmarkEnd w:id="19"/>
      <w:r>
        <w:t>Approche 1 : Approvisionnement d’un montant INFÉRIEUR aux seuils établis dans les accords internationaux commerciaux</w:t>
      </w:r>
      <w:bookmarkEnd w:id="20"/>
    </w:p>
    <w:p w14:paraId="5D027D0B" w14:textId="4BDC3833" w:rsidR="00A418FE" w:rsidRPr="00F93D45" w:rsidRDefault="00A418FE" w:rsidP="006F3345">
      <w:pPr>
        <w:pStyle w:val="Heading2"/>
      </w:pPr>
      <w:bookmarkStart w:id="21" w:name="_Toc175666946"/>
      <w:r>
        <w:t>Stratégie 1 :  Les organismes publics doivent privilégier les entreprises ontariennes.</w:t>
      </w:r>
      <w:bookmarkEnd w:id="21"/>
    </w:p>
    <w:p w14:paraId="0E5E5795" w14:textId="7FE1F39F" w:rsidR="000D31B5" w:rsidRPr="009C4228" w:rsidRDefault="000D31B5" w:rsidP="0075412A">
      <w:pPr>
        <w:pStyle w:val="Heading3"/>
      </w:pPr>
      <w:r>
        <w:t>Quand l’utiliser</w:t>
      </w:r>
    </w:p>
    <w:p w14:paraId="4B20E98F" w14:textId="7AD7A33A" w:rsidR="00AD78FF" w:rsidRPr="009C4228" w:rsidRDefault="7201ED68" w:rsidP="009C4228">
      <w:pPr>
        <w:spacing w:before="120" w:after="240"/>
        <w:rPr>
          <w:rFonts w:eastAsia="Times New Roman" w:cs="Arial"/>
          <w:szCs w:val="24"/>
        </w:rPr>
      </w:pPr>
      <w:r>
        <w:t>Lors d’un processus d’approvisionnement par appel d’offres sur invitation</w:t>
      </w:r>
      <w:r w:rsidR="0010142D" w:rsidRPr="009C4228">
        <w:rPr>
          <w:rFonts w:cs="Arial"/>
          <w:szCs w:val="24"/>
        </w:rPr>
        <w:footnoteReference w:id="3"/>
      </w:r>
      <w:r>
        <w:t>, lorsque la valeur est égale ou inférieure aux valeurs suivantes :</w:t>
      </w:r>
    </w:p>
    <w:tbl>
      <w:tblPr>
        <w:tblStyle w:val="GridTable4-Accent1"/>
        <w:tblW w:w="0" w:type="auto"/>
        <w:tblLook w:val="0420" w:firstRow="1" w:lastRow="0" w:firstColumn="0" w:lastColumn="0" w:noHBand="0" w:noVBand="1"/>
        <w:tblCaption w:val="Table 3: Trade agreement thresholds"/>
        <w:tblDescription w:val="Trade agreement thresholds are as follows for approach 2"/>
      </w:tblPr>
      <w:tblGrid>
        <w:gridCol w:w="2830"/>
        <w:gridCol w:w="3261"/>
        <w:gridCol w:w="3118"/>
      </w:tblGrid>
      <w:tr w:rsidR="00140C27" w14:paraId="5FD8DCE7" w14:textId="77777777" w:rsidTr="00170F20">
        <w:trPr>
          <w:cnfStyle w:val="100000000000" w:firstRow="1" w:lastRow="0" w:firstColumn="0" w:lastColumn="0" w:oddVBand="0" w:evenVBand="0" w:oddHBand="0" w:evenHBand="0" w:firstRowFirstColumn="0" w:firstRowLastColumn="0" w:lastRowFirstColumn="0" w:lastRowLastColumn="0"/>
          <w:trHeight w:val="1134"/>
        </w:trPr>
        <w:tc>
          <w:tcPr>
            <w:tcW w:w="2830" w:type="dxa"/>
          </w:tcPr>
          <w:p w14:paraId="7DC0155F" w14:textId="77777777" w:rsidR="00140C27" w:rsidRDefault="00140C27" w:rsidP="00264B5C">
            <w:pPr>
              <w:spacing w:before="0"/>
              <w:contextualSpacing/>
            </w:pPr>
            <w:r>
              <w:t>Type d’approvisionnement</w:t>
            </w:r>
          </w:p>
        </w:tc>
        <w:tc>
          <w:tcPr>
            <w:tcW w:w="3261" w:type="dxa"/>
          </w:tcPr>
          <w:p w14:paraId="49717B33" w14:textId="77777777" w:rsidR="00140C27" w:rsidRDefault="00140C27" w:rsidP="00264B5C">
            <w:pPr>
              <w:spacing w:before="0"/>
              <w:contextualSpacing/>
            </w:pPr>
            <w:r>
              <w:t>Ministères et la plupart des organismes</w:t>
            </w:r>
          </w:p>
        </w:tc>
        <w:tc>
          <w:tcPr>
            <w:tcW w:w="3118" w:type="dxa"/>
          </w:tcPr>
          <w:p w14:paraId="3E0E3711" w14:textId="77777777" w:rsidR="00140C27" w:rsidRDefault="00140C27" w:rsidP="00264B5C">
            <w:pPr>
              <w:spacing w:before="0"/>
              <w:contextualSpacing/>
            </w:pPr>
            <w:r>
              <w:t>Conseils scolaires, entités universitaires, sanitaires et sociales financées par des fonds publics</w:t>
            </w:r>
          </w:p>
        </w:tc>
      </w:tr>
      <w:tr w:rsidR="00140C27" w14:paraId="4C8DB3DA" w14:textId="77777777" w:rsidTr="00C57EF4">
        <w:trPr>
          <w:cnfStyle w:val="000000100000" w:firstRow="0" w:lastRow="0" w:firstColumn="0" w:lastColumn="0" w:oddVBand="0" w:evenVBand="0" w:oddHBand="1" w:evenHBand="0" w:firstRowFirstColumn="0" w:firstRowLastColumn="0" w:lastRowFirstColumn="0" w:lastRowLastColumn="0"/>
          <w:trHeight w:val="452"/>
        </w:trPr>
        <w:tc>
          <w:tcPr>
            <w:tcW w:w="2830" w:type="dxa"/>
          </w:tcPr>
          <w:p w14:paraId="2643B5DE" w14:textId="77777777" w:rsidR="00140C27" w:rsidRDefault="00140C27" w:rsidP="00264B5C">
            <w:pPr>
              <w:spacing w:before="0"/>
              <w:contextualSpacing/>
            </w:pPr>
            <w:r>
              <w:t>Biens</w:t>
            </w:r>
          </w:p>
        </w:tc>
        <w:tc>
          <w:tcPr>
            <w:tcW w:w="3261" w:type="dxa"/>
          </w:tcPr>
          <w:p w14:paraId="666E97E7" w14:textId="77777777" w:rsidR="00140C27" w:rsidRDefault="00140C27" w:rsidP="00264B5C">
            <w:pPr>
              <w:spacing w:before="0"/>
              <w:contextualSpacing/>
            </w:pPr>
            <w:r>
              <w:t>30 300 $</w:t>
            </w:r>
          </w:p>
        </w:tc>
        <w:tc>
          <w:tcPr>
            <w:tcW w:w="3118" w:type="dxa"/>
          </w:tcPr>
          <w:p w14:paraId="6DD00E37" w14:textId="12E017FF" w:rsidR="00140C27" w:rsidRDefault="00140C27" w:rsidP="00C57EF4">
            <w:pPr>
              <w:spacing w:before="0"/>
              <w:contextualSpacing/>
            </w:pPr>
            <w:r>
              <w:t>121 200 $</w:t>
            </w:r>
          </w:p>
        </w:tc>
      </w:tr>
      <w:tr w:rsidR="00140C27" w14:paraId="7A67EBA3" w14:textId="77777777" w:rsidTr="00170F20">
        <w:trPr>
          <w:trHeight w:val="340"/>
        </w:trPr>
        <w:tc>
          <w:tcPr>
            <w:tcW w:w="2830" w:type="dxa"/>
          </w:tcPr>
          <w:p w14:paraId="7772EFC4" w14:textId="77777777" w:rsidR="00140C27" w:rsidRDefault="00140C27" w:rsidP="00264B5C">
            <w:pPr>
              <w:spacing w:before="0"/>
              <w:contextualSpacing/>
            </w:pPr>
            <w:r>
              <w:t>Services</w:t>
            </w:r>
          </w:p>
        </w:tc>
        <w:tc>
          <w:tcPr>
            <w:tcW w:w="3261" w:type="dxa"/>
          </w:tcPr>
          <w:p w14:paraId="32DF7396" w14:textId="77777777" w:rsidR="00140C27" w:rsidRDefault="00140C27" w:rsidP="00264B5C">
            <w:pPr>
              <w:spacing w:before="0"/>
              <w:contextualSpacing/>
            </w:pPr>
            <w:r>
              <w:t>121 200 $</w:t>
            </w:r>
          </w:p>
        </w:tc>
        <w:tc>
          <w:tcPr>
            <w:tcW w:w="3118" w:type="dxa"/>
          </w:tcPr>
          <w:p w14:paraId="73B938F8" w14:textId="00F05ED7" w:rsidR="00140C27" w:rsidRDefault="00140C27" w:rsidP="00C57EF4">
            <w:pPr>
              <w:spacing w:before="0"/>
              <w:contextualSpacing/>
            </w:pPr>
            <w:r>
              <w:t>121 200 $</w:t>
            </w:r>
          </w:p>
        </w:tc>
      </w:tr>
      <w:tr w:rsidR="00140C27" w14:paraId="79006DC2" w14:textId="77777777" w:rsidTr="00170F20">
        <w:trPr>
          <w:cnfStyle w:val="000000100000" w:firstRow="0" w:lastRow="0" w:firstColumn="0" w:lastColumn="0" w:oddVBand="0" w:evenVBand="0" w:oddHBand="1" w:evenHBand="0" w:firstRowFirstColumn="0" w:firstRowLastColumn="0" w:lastRowFirstColumn="0" w:lastRowLastColumn="0"/>
          <w:trHeight w:val="340"/>
        </w:trPr>
        <w:tc>
          <w:tcPr>
            <w:tcW w:w="2830" w:type="dxa"/>
          </w:tcPr>
          <w:p w14:paraId="2E57BC3B" w14:textId="1547F43F" w:rsidR="00140C27" w:rsidRDefault="00140C27" w:rsidP="00264B5C">
            <w:pPr>
              <w:spacing w:before="0"/>
              <w:contextualSpacing/>
            </w:pPr>
            <w:r>
              <w:t>Construction</w:t>
            </w:r>
          </w:p>
        </w:tc>
        <w:tc>
          <w:tcPr>
            <w:tcW w:w="3261" w:type="dxa"/>
          </w:tcPr>
          <w:p w14:paraId="4ECE2C50" w14:textId="77777777" w:rsidR="00140C27" w:rsidRDefault="00140C27" w:rsidP="00264B5C">
            <w:pPr>
              <w:spacing w:before="0"/>
              <w:contextualSpacing/>
            </w:pPr>
            <w:r>
              <w:t>121 200 $</w:t>
            </w:r>
          </w:p>
        </w:tc>
        <w:tc>
          <w:tcPr>
            <w:tcW w:w="3118" w:type="dxa"/>
          </w:tcPr>
          <w:p w14:paraId="3DB3D0D5" w14:textId="77777777" w:rsidR="00140C27" w:rsidRDefault="00140C27" w:rsidP="00264B5C">
            <w:pPr>
              <w:spacing w:before="0"/>
              <w:contextualSpacing/>
            </w:pPr>
            <w:r>
              <w:t>121 200 $*</w:t>
            </w:r>
          </w:p>
        </w:tc>
      </w:tr>
    </w:tbl>
    <w:p w14:paraId="7D356C2B" w14:textId="77777777" w:rsidR="00A95BAB" w:rsidRDefault="00A95BAB" w:rsidP="00264B5C">
      <w:pPr>
        <w:spacing w:after="240"/>
        <w:rPr>
          <w:rFonts w:eastAsia="Times New Roman" w:cs="Times New Roman"/>
          <w:sz w:val="16"/>
          <w:szCs w:val="16"/>
        </w:rPr>
      </w:pPr>
      <w:r>
        <w:rPr>
          <w:sz w:val="16"/>
          <w:szCs w:val="16"/>
        </w:rPr>
        <w:t>* Le montant de ce seuil est fondé sur l’ACCOQ (accord national) en vigueur en 2024.</w:t>
      </w:r>
    </w:p>
    <w:p w14:paraId="6251926D" w14:textId="4186419D" w:rsidR="00AD78FF" w:rsidRPr="00FC08DB" w:rsidRDefault="19AF8484" w:rsidP="0075412A">
      <w:pPr>
        <w:pStyle w:val="Heading3"/>
      </w:pPr>
      <w:r>
        <w:t>Description de la stratégie</w:t>
      </w:r>
    </w:p>
    <w:p w14:paraId="46C6EE32" w14:textId="77777777" w:rsidR="00F41622" w:rsidRDefault="19AF8484" w:rsidP="00F41622">
      <w:pPr>
        <w:spacing w:before="120" w:after="240"/>
        <w:rPr>
          <w:rFonts w:eastAsia="Times New Roman" w:cs="Arial"/>
          <w:szCs w:val="24"/>
        </w:rPr>
      </w:pPr>
      <w:r>
        <w:lastRenderedPageBreak/>
        <w:t>Dans la mesure du possible, l’acheteur doit privilégier les entreprises ontariennes par l’un des moyens suivants :</w:t>
      </w:r>
    </w:p>
    <w:p w14:paraId="6A396EE0" w14:textId="0627FAA3" w:rsidR="00C34ACC" w:rsidRPr="00F41622" w:rsidRDefault="00C34ACC" w:rsidP="00413F5E">
      <w:pPr>
        <w:pStyle w:val="ListParagraph"/>
        <w:numPr>
          <w:ilvl w:val="0"/>
          <w:numId w:val="46"/>
        </w:numPr>
        <w:spacing w:before="120" w:after="240"/>
        <w:rPr>
          <w:rFonts w:eastAsia="Times New Roman" w:cs="Arial"/>
          <w:szCs w:val="24"/>
        </w:rPr>
      </w:pPr>
      <w:proofErr w:type="gramStart"/>
      <w:r>
        <w:t>limiter</w:t>
      </w:r>
      <w:proofErr w:type="gramEnd"/>
      <w:r>
        <w:t xml:space="preserve"> la participation à l’appel d’offres à une ou plusieurs entreprises ontariennes;  </w:t>
      </w:r>
    </w:p>
    <w:p w14:paraId="385F68A2" w14:textId="045BC4B5" w:rsidR="00C34ACC" w:rsidRPr="00F41622" w:rsidRDefault="00C34ACC" w:rsidP="00413F5E">
      <w:pPr>
        <w:pStyle w:val="ListParagraph"/>
        <w:numPr>
          <w:ilvl w:val="0"/>
          <w:numId w:val="46"/>
        </w:numPr>
        <w:spacing w:before="120" w:after="240"/>
        <w:rPr>
          <w:rFonts w:eastAsia="Times New Roman" w:cs="Arial"/>
          <w:szCs w:val="24"/>
        </w:rPr>
      </w:pPr>
      <w:proofErr w:type="gramStart"/>
      <w:r>
        <w:t>appliquer</w:t>
      </w:r>
      <w:proofErr w:type="gramEnd"/>
      <w:r>
        <w:t xml:space="preserve"> un avantage d’évaluation de 10 % aux entreprises ontariennes qui participent à l’appel d’offres si l’admissibilité n’est pas limitée aux seules entreprises ontariennes.</w:t>
      </w:r>
    </w:p>
    <w:p w14:paraId="2119C3B0" w14:textId="272A3BA6" w:rsidR="00F016E5" w:rsidRPr="000202DB" w:rsidRDefault="00C34ACC" w:rsidP="00BC679E">
      <w:pPr>
        <w:spacing w:after="240" w:line="240" w:lineRule="auto"/>
      </w:pPr>
      <w:r>
        <w:rPr>
          <w:b/>
          <w:bCs/>
        </w:rPr>
        <w:t>Remarque :</w:t>
      </w:r>
      <w:r>
        <w:t xml:space="preserve"> Pour les approvisionnements comprenant à la fois des biens et des services, si la valeur de la composante biens ou de la composante services dépasse le seuil, il n’y a pas d’obligation d’accorder la préférence aux entreprises ontariennes.</w:t>
      </w:r>
    </w:p>
    <w:p w14:paraId="6508354B" w14:textId="2CAD807D" w:rsidR="000D31B5" w:rsidRPr="000202DB" w:rsidRDefault="000D31B5" w:rsidP="0075412A">
      <w:pPr>
        <w:pStyle w:val="Heading3"/>
      </w:pPr>
      <w:r>
        <w:t>Application au processus d’approvisionnement</w:t>
      </w:r>
    </w:p>
    <w:p w14:paraId="06F15910" w14:textId="77777777" w:rsidR="000D31B5" w:rsidRPr="000202DB" w:rsidRDefault="000D31B5" w:rsidP="00413F5E">
      <w:pPr>
        <w:pStyle w:val="ListParagraph"/>
        <w:numPr>
          <w:ilvl w:val="0"/>
          <w:numId w:val="11"/>
        </w:numPr>
        <w:spacing w:after="240" w:line="240" w:lineRule="auto"/>
        <w:ind w:left="360" w:hanging="357"/>
        <w:contextualSpacing w:val="0"/>
        <w:rPr>
          <w:b/>
          <w:bCs/>
          <w:szCs w:val="24"/>
        </w:rPr>
      </w:pPr>
      <w:r>
        <w:rPr>
          <w:b/>
          <w:bCs/>
          <w:szCs w:val="24"/>
        </w:rPr>
        <w:t>Planification de l’approvisionnement</w:t>
      </w:r>
    </w:p>
    <w:p w14:paraId="73F273FB" w14:textId="372135FB" w:rsidR="000D31B5" w:rsidRPr="000202DB" w:rsidRDefault="000D31B5" w:rsidP="00413F5E">
      <w:pPr>
        <w:pStyle w:val="ListParagraph"/>
        <w:numPr>
          <w:ilvl w:val="1"/>
          <w:numId w:val="49"/>
        </w:numPr>
        <w:spacing w:before="120" w:after="240"/>
        <w:contextualSpacing w:val="0"/>
        <w:rPr>
          <w:szCs w:val="24"/>
        </w:rPr>
      </w:pPr>
      <w:r>
        <w:t xml:space="preserve">Mener une étude de marché et déterminer s’il existe des entreprises ontariennes (telles que définies à la </w:t>
      </w:r>
      <w:hyperlink w:anchor="Definition" w:history="1">
        <w:r>
          <w:rPr>
            <w:rStyle w:val="Hyperlink"/>
          </w:rPr>
          <w:t>section 3</w:t>
        </w:r>
      </w:hyperlink>
      <w:r>
        <w:t xml:space="preserve">) qualifiées pour fournir les biens ou les services recherchés. </w:t>
      </w:r>
    </w:p>
    <w:p w14:paraId="375854BA" w14:textId="77777777" w:rsidR="000D31B5" w:rsidRPr="005A70DC" w:rsidRDefault="000D31B5" w:rsidP="00413F5E">
      <w:pPr>
        <w:pStyle w:val="ListParagraph"/>
        <w:numPr>
          <w:ilvl w:val="0"/>
          <w:numId w:val="46"/>
        </w:numPr>
        <w:spacing w:before="120" w:after="240"/>
        <w:contextualSpacing w:val="0"/>
        <w:rPr>
          <w:rFonts w:eastAsia="Times New Roman" w:cs="Arial"/>
          <w:szCs w:val="24"/>
        </w:rPr>
      </w:pPr>
      <w:r>
        <w:t>Les acheteurs du secteur public peuvent consulter les bases de données disponibles sur les entreprises de l’Ontario, par exemple :</w:t>
      </w:r>
    </w:p>
    <w:p w14:paraId="59BEC232" w14:textId="1020C237" w:rsidR="000D31B5" w:rsidRPr="000202DB" w:rsidRDefault="00064DC3" w:rsidP="00413F5E">
      <w:pPr>
        <w:pStyle w:val="ListParagraph"/>
        <w:numPr>
          <w:ilvl w:val="0"/>
          <w:numId w:val="51"/>
        </w:numPr>
        <w:spacing w:before="120" w:after="240"/>
        <w:rPr>
          <w:szCs w:val="24"/>
        </w:rPr>
      </w:pPr>
      <w:hyperlink r:id="rId12" w:anchor="section-1" w:history="1">
        <w:r w:rsidR="002018CF">
          <w:rPr>
            <w:rStyle w:val="Hyperlink"/>
          </w:rPr>
          <w:t>Registre des entreprises de l’Ontario</w:t>
        </w:r>
      </w:hyperlink>
    </w:p>
    <w:p w14:paraId="062CE2F1" w14:textId="53C77E43" w:rsidR="000D31B5" w:rsidRPr="000202DB" w:rsidRDefault="00064DC3" w:rsidP="00413F5E">
      <w:pPr>
        <w:pStyle w:val="ListParagraph"/>
        <w:numPr>
          <w:ilvl w:val="0"/>
          <w:numId w:val="51"/>
        </w:numPr>
        <w:spacing w:before="120" w:after="240"/>
        <w:rPr>
          <w:rFonts w:eastAsia="Times New Roman" w:cs="Times New Roman"/>
          <w:szCs w:val="20"/>
        </w:rPr>
      </w:pPr>
      <w:hyperlink r:id="rId13">
        <w:r w:rsidR="000D31B5">
          <w:rPr>
            <w:rStyle w:val="Hyperlink"/>
          </w:rPr>
          <w:t>Répertoire des entreprises autochtones</w:t>
        </w:r>
      </w:hyperlink>
      <w:r w:rsidR="000D31B5">
        <w:t xml:space="preserve"> du Canada</w:t>
      </w:r>
    </w:p>
    <w:p w14:paraId="030AE4D0" w14:textId="4C568062" w:rsidR="000D31B5" w:rsidRPr="0054306D" w:rsidRDefault="0054306D" w:rsidP="00665D4F">
      <w:pPr>
        <w:spacing w:before="120" w:after="240"/>
        <w:ind w:left="720"/>
        <w:rPr>
          <w:rFonts w:eastAsia="Times New Roman" w:cs="Arial"/>
          <w:szCs w:val="24"/>
        </w:rPr>
      </w:pPr>
      <w:r>
        <w:rPr>
          <w:b/>
          <w:bCs/>
          <w:szCs w:val="24"/>
        </w:rPr>
        <w:t xml:space="preserve">Remarque : </w:t>
      </w:r>
      <w:r>
        <w:t xml:space="preserve">Ces bases de données ne contiennent pas la liste complète des entreprises de l’Ontario, mais elles constituent des points de départ pour aider l’acheteur à effectuer une étude de marché. </w:t>
      </w:r>
    </w:p>
    <w:p w14:paraId="03735C76" w14:textId="440F58AE" w:rsidR="00BC679E" w:rsidRPr="00A15488" w:rsidRDefault="000D31B5" w:rsidP="00413F5E">
      <w:pPr>
        <w:pStyle w:val="ListParagraph"/>
        <w:numPr>
          <w:ilvl w:val="0"/>
          <w:numId w:val="46"/>
        </w:numPr>
        <w:spacing w:before="120" w:after="240"/>
        <w:contextualSpacing w:val="0"/>
        <w:rPr>
          <w:rFonts w:eastAsia="Times New Roman" w:cs="Arial"/>
          <w:szCs w:val="24"/>
        </w:rPr>
      </w:pPr>
      <w:r>
        <w:t>Solliciter les approbations appropriées.</w:t>
      </w:r>
    </w:p>
    <w:p w14:paraId="054FEB73" w14:textId="77777777" w:rsidR="000D31B5" w:rsidRPr="000202DB" w:rsidRDefault="000D31B5" w:rsidP="00413F5E">
      <w:pPr>
        <w:pStyle w:val="ListParagraph"/>
        <w:numPr>
          <w:ilvl w:val="0"/>
          <w:numId w:val="11"/>
        </w:numPr>
        <w:spacing w:after="240" w:line="240" w:lineRule="auto"/>
        <w:ind w:left="360" w:hanging="357"/>
        <w:contextualSpacing w:val="0"/>
        <w:rPr>
          <w:b/>
          <w:bCs/>
          <w:szCs w:val="24"/>
        </w:rPr>
      </w:pPr>
      <w:r>
        <w:rPr>
          <w:b/>
          <w:bCs/>
          <w:szCs w:val="24"/>
        </w:rPr>
        <w:t>Approvisionnement</w:t>
      </w:r>
    </w:p>
    <w:p w14:paraId="38F4DBD9" w14:textId="360F1D06" w:rsidR="00523DBF" w:rsidRPr="006C27BE" w:rsidRDefault="000D31B5" w:rsidP="00413F5E">
      <w:pPr>
        <w:pStyle w:val="ListParagraph"/>
        <w:numPr>
          <w:ilvl w:val="0"/>
          <w:numId w:val="46"/>
        </w:numPr>
        <w:spacing w:before="120" w:after="240"/>
        <w:contextualSpacing w:val="0"/>
        <w:rPr>
          <w:rFonts w:eastAsia="Times New Roman" w:cs="Arial"/>
          <w:szCs w:val="24"/>
        </w:rPr>
      </w:pPr>
      <w:r>
        <w:t xml:space="preserve">Rédiger le document d’approvisionnement qui est utilisé pour l’appel d’offres sur invitation. </w:t>
      </w:r>
    </w:p>
    <w:p w14:paraId="3E1855D3" w14:textId="7BB9CA02" w:rsidR="00523DBF" w:rsidRPr="006C27BE" w:rsidRDefault="00746873" w:rsidP="00413F5E">
      <w:pPr>
        <w:pStyle w:val="ListParagraph"/>
        <w:numPr>
          <w:ilvl w:val="0"/>
          <w:numId w:val="46"/>
        </w:numPr>
        <w:spacing w:before="120" w:after="240"/>
        <w:contextualSpacing w:val="0"/>
        <w:rPr>
          <w:rFonts w:eastAsia="Times New Roman" w:cs="Arial"/>
          <w:szCs w:val="24"/>
        </w:rPr>
      </w:pPr>
      <w:r>
        <w:lastRenderedPageBreak/>
        <w:t>Le document d’approvisionnement doit clairement indiquer comment la préférence sera accordée aux entreprises ontariennes, soit :</w:t>
      </w:r>
    </w:p>
    <w:p w14:paraId="2AB04A88" w14:textId="27E0FBCC" w:rsidR="00523DBF" w:rsidRPr="006C27BE" w:rsidRDefault="00FD568B" w:rsidP="00413F5E">
      <w:pPr>
        <w:pStyle w:val="ListParagraph"/>
        <w:numPr>
          <w:ilvl w:val="1"/>
          <w:numId w:val="46"/>
        </w:numPr>
        <w:spacing w:before="120" w:after="240"/>
        <w:rPr>
          <w:rFonts w:eastAsia="Times New Roman" w:cs="Arial"/>
          <w:szCs w:val="24"/>
        </w:rPr>
      </w:pPr>
      <w:proofErr w:type="gramStart"/>
      <w:r>
        <w:t>en</w:t>
      </w:r>
      <w:proofErr w:type="gramEnd"/>
      <w:r>
        <w:t xml:space="preserve"> limitant l’invitation aux seules entreprises ontariennes; </w:t>
      </w:r>
    </w:p>
    <w:p w14:paraId="660860E9" w14:textId="303C8DF5" w:rsidR="000D31B5" w:rsidRPr="006C27BE" w:rsidRDefault="00FD568B" w:rsidP="00413F5E">
      <w:pPr>
        <w:pStyle w:val="ListParagraph"/>
        <w:numPr>
          <w:ilvl w:val="0"/>
          <w:numId w:val="50"/>
        </w:numPr>
        <w:spacing w:before="0" w:after="240"/>
        <w:contextualSpacing w:val="0"/>
        <w:rPr>
          <w:rFonts w:eastAsia="Times New Roman" w:cs="Arial"/>
          <w:szCs w:val="24"/>
        </w:rPr>
      </w:pPr>
      <w:proofErr w:type="gramStart"/>
      <w:r>
        <w:t>en</w:t>
      </w:r>
      <w:proofErr w:type="gramEnd"/>
      <w:r>
        <w:t xml:space="preserve"> appliquant un avantage d’évaluation de 10 % aux entreprises ontariennes qui participent à l’appel d’offres. Dans le cadre d’un approvisionnement basé uniquement sur le prix, un avantage de 10 % pourrait être appliqué au prix de l’offre soumise par les entreprises ontariennes. Cette note est uniquement destinée à l’évaluation et le montant du contrat sera basé sur l’offre soumise par les fournisseurs.</w:t>
      </w:r>
    </w:p>
    <w:p w14:paraId="6A7AA515" w14:textId="77777777" w:rsidR="000D31B5" w:rsidRPr="006C27BE" w:rsidRDefault="000D31B5" w:rsidP="00413F5E">
      <w:pPr>
        <w:pStyle w:val="ListParagraph"/>
        <w:numPr>
          <w:ilvl w:val="0"/>
          <w:numId w:val="46"/>
        </w:numPr>
        <w:spacing w:before="120" w:after="240"/>
        <w:contextualSpacing w:val="0"/>
        <w:rPr>
          <w:rFonts w:eastAsia="Times New Roman" w:cs="Arial"/>
          <w:szCs w:val="24"/>
        </w:rPr>
      </w:pPr>
      <w:r>
        <w:t xml:space="preserve">Envoyer les invitations conformément aux exigences des directives sur l’approvisionnement. </w:t>
      </w:r>
    </w:p>
    <w:p w14:paraId="12468D5D" w14:textId="66429907" w:rsidR="000D31B5" w:rsidRPr="000202DB" w:rsidRDefault="000D31B5" w:rsidP="00413F5E">
      <w:pPr>
        <w:pStyle w:val="ListParagraph"/>
        <w:numPr>
          <w:ilvl w:val="0"/>
          <w:numId w:val="11"/>
        </w:numPr>
        <w:spacing w:after="240" w:line="240" w:lineRule="auto"/>
        <w:ind w:left="360" w:hanging="357"/>
        <w:contextualSpacing w:val="0"/>
        <w:rPr>
          <w:b/>
          <w:bCs/>
          <w:szCs w:val="24"/>
        </w:rPr>
      </w:pPr>
      <w:r>
        <w:rPr>
          <w:b/>
          <w:bCs/>
          <w:szCs w:val="24"/>
        </w:rPr>
        <w:t>Évaluation des réponses</w:t>
      </w:r>
    </w:p>
    <w:p w14:paraId="092C16C2" w14:textId="1679854D" w:rsidR="000D31B5" w:rsidRPr="00167266" w:rsidRDefault="00AA0DDD" w:rsidP="00413F5E">
      <w:pPr>
        <w:pStyle w:val="ListParagraph"/>
        <w:numPr>
          <w:ilvl w:val="0"/>
          <w:numId w:val="46"/>
        </w:numPr>
        <w:spacing w:before="120" w:after="240"/>
        <w:contextualSpacing w:val="0"/>
        <w:rPr>
          <w:rFonts w:eastAsia="Times New Roman" w:cs="Arial"/>
          <w:szCs w:val="24"/>
        </w:rPr>
      </w:pPr>
      <w:r>
        <w:t>Évaluer les soumissions en fonction des critères publiés.</w:t>
      </w:r>
    </w:p>
    <w:p w14:paraId="57D029CB" w14:textId="77777777" w:rsidR="000D31B5" w:rsidRPr="000202DB" w:rsidRDefault="000D31B5" w:rsidP="00413F5E">
      <w:pPr>
        <w:pStyle w:val="ListParagraph"/>
        <w:numPr>
          <w:ilvl w:val="0"/>
          <w:numId w:val="11"/>
        </w:numPr>
        <w:spacing w:after="240" w:line="240" w:lineRule="auto"/>
        <w:ind w:left="360" w:hanging="357"/>
        <w:contextualSpacing w:val="0"/>
        <w:rPr>
          <w:b/>
          <w:bCs/>
          <w:szCs w:val="24"/>
        </w:rPr>
      </w:pPr>
      <w:r>
        <w:rPr>
          <w:b/>
          <w:bCs/>
          <w:szCs w:val="24"/>
        </w:rPr>
        <w:t>Rédaction des contrats</w:t>
      </w:r>
    </w:p>
    <w:p w14:paraId="67E02E7B" w14:textId="77777777" w:rsidR="000D31B5" w:rsidRPr="00167266" w:rsidRDefault="000D31B5" w:rsidP="00413F5E">
      <w:pPr>
        <w:pStyle w:val="ListParagraph"/>
        <w:numPr>
          <w:ilvl w:val="0"/>
          <w:numId w:val="46"/>
        </w:numPr>
        <w:spacing w:before="120" w:after="240"/>
        <w:contextualSpacing w:val="0"/>
        <w:rPr>
          <w:rFonts w:eastAsia="Times New Roman" w:cs="Arial"/>
          <w:szCs w:val="24"/>
        </w:rPr>
      </w:pPr>
      <w:r>
        <w:t>Attribuer le contrat</w:t>
      </w:r>
    </w:p>
    <w:p w14:paraId="4555EA18" w14:textId="2956E7E3" w:rsidR="009F647A" w:rsidRPr="005C12ED" w:rsidRDefault="000D31B5" w:rsidP="00413F5E">
      <w:pPr>
        <w:pStyle w:val="ListParagraph"/>
        <w:numPr>
          <w:ilvl w:val="0"/>
          <w:numId w:val="46"/>
        </w:numPr>
        <w:spacing w:before="120" w:after="240"/>
        <w:contextualSpacing w:val="0"/>
        <w:rPr>
          <w:rFonts w:eastAsia="Times New Roman" w:cs="Arial"/>
          <w:szCs w:val="24"/>
        </w:rPr>
      </w:pPr>
      <w:r>
        <w:t>Informer les fournisseurs</w:t>
      </w:r>
    </w:p>
    <w:p w14:paraId="7E7E3CF5" w14:textId="77777777" w:rsidR="000D31B5" w:rsidRPr="000202DB" w:rsidRDefault="000D31B5" w:rsidP="00413F5E">
      <w:pPr>
        <w:pStyle w:val="ListParagraph"/>
        <w:numPr>
          <w:ilvl w:val="0"/>
          <w:numId w:val="11"/>
        </w:numPr>
        <w:spacing w:after="240" w:line="240" w:lineRule="auto"/>
        <w:ind w:left="360" w:hanging="357"/>
        <w:contextualSpacing w:val="0"/>
        <w:rPr>
          <w:b/>
          <w:bCs/>
          <w:szCs w:val="24"/>
        </w:rPr>
      </w:pPr>
      <w:r>
        <w:rPr>
          <w:b/>
          <w:bCs/>
          <w:szCs w:val="24"/>
        </w:rPr>
        <w:t>Gestion et clôture des contrats</w:t>
      </w:r>
    </w:p>
    <w:p w14:paraId="4BF58B13" w14:textId="40B722AC" w:rsidR="000D31B5" w:rsidRPr="00DF4112" w:rsidRDefault="000D31B5" w:rsidP="00413F5E">
      <w:pPr>
        <w:pStyle w:val="ListParagraph"/>
        <w:numPr>
          <w:ilvl w:val="0"/>
          <w:numId w:val="46"/>
        </w:numPr>
        <w:spacing w:before="120" w:after="240"/>
        <w:contextualSpacing w:val="0"/>
        <w:rPr>
          <w:rFonts w:eastAsia="Times New Roman" w:cs="Arial"/>
          <w:szCs w:val="24"/>
        </w:rPr>
      </w:pPr>
      <w:r>
        <w:t>Aucun changement au processus actuel</w:t>
      </w:r>
    </w:p>
    <w:p w14:paraId="235C5B1F" w14:textId="29C31B2E" w:rsidR="00954001" w:rsidRDefault="00954001" w:rsidP="00264B5C">
      <w:pPr>
        <w:spacing w:before="0" w:line="259" w:lineRule="auto"/>
        <w:rPr>
          <w:rFonts w:eastAsiaTheme="majorEastAsia" w:cstheme="majorBidi"/>
          <w:b/>
          <w:bCs/>
          <w:color w:val="006E81" w:themeColor="text2"/>
        </w:rPr>
      </w:pPr>
      <w:r>
        <w:br w:type="page"/>
      </w:r>
    </w:p>
    <w:p w14:paraId="25E52C59" w14:textId="63C54E5E" w:rsidR="000D31B5" w:rsidRPr="000202DB" w:rsidRDefault="000D31B5" w:rsidP="0075412A">
      <w:pPr>
        <w:pStyle w:val="Heading3"/>
      </w:pPr>
      <w:r>
        <w:lastRenderedPageBreak/>
        <w:t>Mise en pratique</w:t>
      </w:r>
    </w:p>
    <w:p w14:paraId="63E32101" w14:textId="77777777" w:rsidR="000D31B5" w:rsidRPr="000202DB" w:rsidRDefault="000D31B5" w:rsidP="00BC679E">
      <w:pPr>
        <w:spacing w:after="240" w:line="240" w:lineRule="auto"/>
        <w:rPr>
          <w:rFonts w:eastAsia="Times New Roman" w:cs="Times New Roman"/>
          <w:b/>
        </w:rPr>
      </w:pPr>
      <w:r>
        <w:rPr>
          <w:b/>
        </w:rPr>
        <w:t>Scénario 1</w:t>
      </w:r>
    </w:p>
    <w:p w14:paraId="1B7618EE" w14:textId="38DDBC34" w:rsidR="000D31B5" w:rsidRPr="000202DB" w:rsidRDefault="000D31B5" w:rsidP="00BC679E">
      <w:pPr>
        <w:spacing w:after="240" w:line="240" w:lineRule="auto"/>
        <w:rPr>
          <w:rFonts w:eastAsia="Times New Roman" w:cs="Times New Roman"/>
        </w:rPr>
      </w:pPr>
      <w:r>
        <w:t xml:space="preserve">Trois entreprises sont invitées à soumettre une offre pour la fourniture de biens. Étant donné qu’un fournisseur de l’extérieur de la province a été invité à soumettre une offre, un avantage de 10 % est ajouté aux notes cumulatives de toutes les offres soumises par les entreprises de l’Ontario. Dans ces conditions, le fournisseur A obtient la note cumulative la plus élevée et se voit attribuer le contrat. </w:t>
      </w:r>
    </w:p>
    <w:tbl>
      <w:tblPr>
        <w:tblStyle w:val="GridTable4-Accent1"/>
        <w:tblW w:w="5000" w:type="pct"/>
        <w:tblLook w:val="04A0" w:firstRow="1" w:lastRow="0" w:firstColumn="1" w:lastColumn="0" w:noHBand="0" w:noVBand="1"/>
        <w:tblCaption w:val="Table 4: Scenario 1"/>
        <w:tblDescription w:val="Scenario 1 is an example of adding 10 point advantage to the cumulative score of bids submitted by Ontario vendors"/>
      </w:tblPr>
      <w:tblGrid>
        <w:gridCol w:w="3394"/>
        <w:gridCol w:w="1736"/>
        <w:gridCol w:w="1509"/>
        <w:gridCol w:w="2711"/>
      </w:tblGrid>
      <w:tr w:rsidR="000D31B5" w:rsidRPr="000202DB" w14:paraId="60AE419A" w14:textId="77777777" w:rsidTr="002018CF">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17" w:type="pct"/>
          </w:tcPr>
          <w:p w14:paraId="1CA715B7" w14:textId="77777777" w:rsidR="000D31B5" w:rsidRPr="000202DB" w:rsidRDefault="000D31B5" w:rsidP="00264B5C">
            <w:pPr>
              <w:spacing w:before="0"/>
              <w:contextualSpacing/>
              <w:rPr>
                <w:b w:val="0"/>
                <w:bCs w:val="0"/>
              </w:rPr>
            </w:pPr>
            <w:r>
              <w:t>Nom du fournisseur</w:t>
            </w:r>
          </w:p>
        </w:tc>
        <w:tc>
          <w:tcPr>
            <w:tcW w:w="922" w:type="pct"/>
          </w:tcPr>
          <w:p w14:paraId="50F8CA3F" w14:textId="2076E22C" w:rsidR="000D31B5" w:rsidRPr="000202DB" w:rsidRDefault="000D31B5" w:rsidP="00264B5C">
            <w:pPr>
              <w:spacing w:before="0"/>
              <w:contextualSpacing/>
              <w:cnfStyle w:val="100000000000" w:firstRow="1" w:lastRow="0" w:firstColumn="0" w:lastColumn="0" w:oddVBand="0" w:evenVBand="0" w:oddHBand="0" w:evenHBand="0" w:firstRowFirstColumn="0" w:firstRowLastColumn="0" w:lastRowFirstColumn="0" w:lastRowLastColumn="0"/>
              <w:rPr>
                <w:b w:val="0"/>
                <w:bCs w:val="0"/>
              </w:rPr>
            </w:pPr>
            <w:r>
              <w:t>Satisfait à la définition d’une « entreprise ontarienne ».</w:t>
            </w:r>
          </w:p>
        </w:tc>
        <w:tc>
          <w:tcPr>
            <w:tcW w:w="809" w:type="pct"/>
          </w:tcPr>
          <w:p w14:paraId="7373B8A3" w14:textId="18A73873" w:rsidR="000D31B5" w:rsidRPr="000202DB" w:rsidRDefault="001C4152" w:rsidP="00264B5C">
            <w:pPr>
              <w:spacing w:before="0"/>
              <w:contextualSpacing/>
              <w:cnfStyle w:val="100000000000" w:firstRow="1" w:lastRow="0" w:firstColumn="0" w:lastColumn="0" w:oddVBand="0" w:evenVBand="0" w:oddHBand="0" w:evenHBand="0" w:firstRowFirstColumn="0" w:firstRowLastColumn="0" w:lastRowFirstColumn="0" w:lastRowLastColumn="0"/>
              <w:rPr>
                <w:b w:val="0"/>
                <w:bCs w:val="0"/>
              </w:rPr>
            </w:pPr>
            <w:r>
              <w:t>Note attribuée</w:t>
            </w:r>
          </w:p>
        </w:tc>
        <w:tc>
          <w:tcPr>
            <w:tcW w:w="1452" w:type="pct"/>
          </w:tcPr>
          <w:p w14:paraId="397F38AE" w14:textId="77777777" w:rsidR="000D31B5" w:rsidRPr="000202DB" w:rsidRDefault="000D31B5" w:rsidP="00264B5C">
            <w:pPr>
              <w:spacing w:before="0"/>
              <w:contextualSpacing/>
              <w:cnfStyle w:val="100000000000" w:firstRow="1" w:lastRow="0" w:firstColumn="0" w:lastColumn="0" w:oddVBand="0" w:evenVBand="0" w:oddHBand="0" w:evenHBand="0" w:firstRowFirstColumn="0" w:firstRowLastColumn="0" w:lastRowFirstColumn="0" w:lastRowLastColumn="0"/>
              <w:rPr>
                <w:b w:val="0"/>
                <w:bCs w:val="0"/>
              </w:rPr>
            </w:pPr>
            <w:r>
              <w:t>Note cumulative après application de l’avantage de points aux « entreprises ontariennes »</w:t>
            </w:r>
          </w:p>
        </w:tc>
      </w:tr>
      <w:tr w:rsidR="000D31B5" w:rsidRPr="000202DB" w14:paraId="12DD6859" w14:textId="77777777" w:rsidTr="002018C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817" w:type="pct"/>
          </w:tcPr>
          <w:p w14:paraId="18179B59" w14:textId="69B47093" w:rsidR="00B7051F" w:rsidRPr="000202DB" w:rsidRDefault="000D31B5" w:rsidP="002018CF">
            <w:pPr>
              <w:spacing w:before="0"/>
              <w:contextualSpacing/>
              <w:rPr>
                <w:rFonts w:eastAsia="Times New Roman" w:cs="Times New Roman"/>
                <w:szCs w:val="24"/>
                <w:lang w:eastAsia="en-CA"/>
              </w:rPr>
            </w:pPr>
            <w:r>
              <w:t xml:space="preserve">Fournisseur A : </w:t>
            </w:r>
            <w:r>
              <w:rPr>
                <w:b w:val="0"/>
                <w:bCs w:val="0"/>
                <w:szCs w:val="24"/>
              </w:rPr>
              <w:t>a son siège social à Midland, en Ontario</w:t>
            </w:r>
            <w:r>
              <w:t xml:space="preserve"> </w:t>
            </w:r>
          </w:p>
        </w:tc>
        <w:tc>
          <w:tcPr>
            <w:tcW w:w="922" w:type="pct"/>
          </w:tcPr>
          <w:p w14:paraId="5CAF561C" w14:textId="77777777" w:rsidR="000D31B5" w:rsidRPr="000202DB" w:rsidRDefault="000D31B5"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t>OUI</w:t>
            </w:r>
          </w:p>
        </w:tc>
        <w:tc>
          <w:tcPr>
            <w:tcW w:w="809" w:type="pct"/>
          </w:tcPr>
          <w:p w14:paraId="4D875387" w14:textId="77777777" w:rsidR="000D31B5" w:rsidRPr="000202DB" w:rsidRDefault="000D31B5"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t>87 sur 100</w:t>
            </w:r>
          </w:p>
        </w:tc>
        <w:tc>
          <w:tcPr>
            <w:tcW w:w="1452" w:type="pct"/>
          </w:tcPr>
          <w:p w14:paraId="5B9C3656" w14:textId="1ADE26B6" w:rsidR="000D31B5" w:rsidRPr="000202DB" w:rsidRDefault="00B723C4"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color w:val="C00000"/>
                <w:szCs w:val="24"/>
              </w:rPr>
              <w:t>95,7 sur 100</w:t>
            </w:r>
          </w:p>
        </w:tc>
      </w:tr>
      <w:tr w:rsidR="000D31B5" w:rsidRPr="000202DB" w14:paraId="2F26F5E3" w14:textId="77777777" w:rsidTr="002018CF">
        <w:trPr>
          <w:trHeight w:val="401"/>
        </w:trPr>
        <w:tc>
          <w:tcPr>
            <w:cnfStyle w:val="001000000000" w:firstRow="0" w:lastRow="0" w:firstColumn="1" w:lastColumn="0" w:oddVBand="0" w:evenVBand="0" w:oddHBand="0" w:evenHBand="0" w:firstRowFirstColumn="0" w:firstRowLastColumn="0" w:lastRowFirstColumn="0" w:lastRowLastColumn="0"/>
            <w:tcW w:w="1817" w:type="pct"/>
          </w:tcPr>
          <w:p w14:paraId="52F8CF69" w14:textId="77777777" w:rsidR="000D31B5" w:rsidRPr="000202DB" w:rsidRDefault="000D31B5" w:rsidP="00264B5C">
            <w:pPr>
              <w:spacing w:before="0"/>
              <w:contextualSpacing/>
              <w:rPr>
                <w:rFonts w:eastAsia="Times New Roman" w:cs="Times New Roman"/>
                <w:szCs w:val="24"/>
              </w:rPr>
            </w:pPr>
            <w:r>
              <w:t xml:space="preserve">Fournisseur B : </w:t>
            </w:r>
            <w:r>
              <w:rPr>
                <w:b w:val="0"/>
                <w:bCs w:val="0"/>
                <w:szCs w:val="24"/>
              </w:rPr>
              <w:t>se situe hors de la province et n’est pas une « entreprise ontarienne » au sens de la définition.</w:t>
            </w:r>
            <w:r>
              <w:t xml:space="preserve"> </w:t>
            </w:r>
          </w:p>
        </w:tc>
        <w:tc>
          <w:tcPr>
            <w:tcW w:w="922" w:type="pct"/>
          </w:tcPr>
          <w:p w14:paraId="2E39C803" w14:textId="77777777" w:rsidR="000D31B5" w:rsidRPr="000202DB" w:rsidRDefault="000D31B5"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t>NON</w:t>
            </w:r>
          </w:p>
        </w:tc>
        <w:tc>
          <w:tcPr>
            <w:tcW w:w="809" w:type="pct"/>
          </w:tcPr>
          <w:p w14:paraId="79BADEE6" w14:textId="77777777" w:rsidR="000D31B5" w:rsidRPr="000202DB" w:rsidRDefault="000D31B5"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t>91 sur 100</w:t>
            </w:r>
          </w:p>
        </w:tc>
        <w:tc>
          <w:tcPr>
            <w:tcW w:w="1452" w:type="pct"/>
          </w:tcPr>
          <w:p w14:paraId="11060628" w14:textId="77777777" w:rsidR="000D31B5" w:rsidRPr="000202DB" w:rsidRDefault="000D31B5"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t>Aucun changement</w:t>
            </w:r>
          </w:p>
        </w:tc>
      </w:tr>
      <w:tr w:rsidR="000D31B5" w:rsidRPr="000202DB" w14:paraId="68DB368A" w14:textId="77777777" w:rsidTr="002018C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817" w:type="pct"/>
          </w:tcPr>
          <w:p w14:paraId="04B3D8A4" w14:textId="19928C56" w:rsidR="00B7051F" w:rsidRPr="000202DB" w:rsidRDefault="000D31B5" w:rsidP="002018CF">
            <w:pPr>
              <w:spacing w:before="0"/>
              <w:contextualSpacing/>
              <w:rPr>
                <w:rFonts w:eastAsia="Times New Roman" w:cs="Times New Roman"/>
                <w:szCs w:val="24"/>
                <w:lang w:eastAsia="en-CA"/>
              </w:rPr>
            </w:pPr>
            <w:r>
              <w:t>Fournisseur C :</w:t>
            </w:r>
            <w:r>
              <w:rPr>
                <w:b w:val="0"/>
                <w:bCs w:val="0"/>
                <w:szCs w:val="24"/>
              </w:rPr>
              <w:t xml:space="preserve"> a son siège social à Toronto, en Ontario</w:t>
            </w:r>
          </w:p>
        </w:tc>
        <w:tc>
          <w:tcPr>
            <w:tcW w:w="922" w:type="pct"/>
          </w:tcPr>
          <w:p w14:paraId="028AB086" w14:textId="77777777" w:rsidR="000D31B5" w:rsidRPr="000202DB" w:rsidRDefault="000D31B5"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t>OUI</w:t>
            </w:r>
          </w:p>
        </w:tc>
        <w:tc>
          <w:tcPr>
            <w:tcW w:w="809" w:type="pct"/>
          </w:tcPr>
          <w:p w14:paraId="1DA2A6D9" w14:textId="77777777" w:rsidR="000D31B5" w:rsidRPr="000202DB" w:rsidRDefault="000D31B5"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t>75 sur 100</w:t>
            </w:r>
          </w:p>
        </w:tc>
        <w:tc>
          <w:tcPr>
            <w:tcW w:w="1452" w:type="pct"/>
          </w:tcPr>
          <w:p w14:paraId="03E7A615" w14:textId="197F0E33" w:rsidR="000D31B5" w:rsidRPr="000202DB" w:rsidRDefault="00914872" w:rsidP="00264B5C">
            <w:pPr>
              <w:spacing w:before="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t>82,5 sur 100</w:t>
            </w:r>
          </w:p>
        </w:tc>
      </w:tr>
      <w:tr w:rsidR="00EF5225" w:rsidRPr="000202DB" w14:paraId="0BB36195" w14:textId="77777777" w:rsidTr="002018CF">
        <w:trPr>
          <w:trHeight w:val="401"/>
        </w:trPr>
        <w:tc>
          <w:tcPr>
            <w:cnfStyle w:val="001000000000" w:firstRow="0" w:lastRow="0" w:firstColumn="1" w:lastColumn="0" w:oddVBand="0" w:evenVBand="0" w:oddHBand="0" w:evenHBand="0" w:firstRowFirstColumn="0" w:firstRowLastColumn="0" w:lastRowFirstColumn="0" w:lastRowLastColumn="0"/>
            <w:tcW w:w="1817" w:type="pct"/>
          </w:tcPr>
          <w:p w14:paraId="6BB0019E" w14:textId="7AABA635" w:rsidR="00EF5225" w:rsidRPr="000202DB" w:rsidRDefault="00EF5225" w:rsidP="00264B5C">
            <w:pPr>
              <w:spacing w:before="0"/>
              <w:contextualSpacing/>
              <w:rPr>
                <w:rFonts w:eastAsia="Times New Roman" w:cs="Times New Roman"/>
                <w:szCs w:val="24"/>
              </w:rPr>
            </w:pPr>
            <w:r>
              <w:t xml:space="preserve">Fournisseur D : </w:t>
            </w:r>
            <w:r>
              <w:rPr>
                <w:b w:val="0"/>
                <w:bCs w:val="0"/>
                <w:szCs w:val="24"/>
              </w:rPr>
              <w:t>a son siège social à Edmonton, en Alberta, mais compte au moins 250 employés à temps plein en Ontario au moment du processus d’approvisionnement applicable.</w:t>
            </w:r>
          </w:p>
        </w:tc>
        <w:tc>
          <w:tcPr>
            <w:tcW w:w="922" w:type="pct"/>
          </w:tcPr>
          <w:p w14:paraId="5A3B074D" w14:textId="1FA7EF9E" w:rsidR="00EF5225" w:rsidRPr="000202DB" w:rsidRDefault="00161E04"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t>OUI</w:t>
            </w:r>
          </w:p>
        </w:tc>
        <w:tc>
          <w:tcPr>
            <w:tcW w:w="809" w:type="pct"/>
          </w:tcPr>
          <w:p w14:paraId="25940D62" w14:textId="5BB802CD" w:rsidR="00EF5225" w:rsidRPr="000202DB" w:rsidRDefault="00367CE4"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t>77 sur 100</w:t>
            </w:r>
          </w:p>
        </w:tc>
        <w:tc>
          <w:tcPr>
            <w:tcW w:w="1452" w:type="pct"/>
          </w:tcPr>
          <w:p w14:paraId="3BD23E78" w14:textId="04CDC759" w:rsidR="00EF5225" w:rsidRPr="000202DB" w:rsidRDefault="009F621E" w:rsidP="00264B5C">
            <w:pPr>
              <w:spacing w:before="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t>84,7 sur 100</w:t>
            </w:r>
          </w:p>
        </w:tc>
      </w:tr>
    </w:tbl>
    <w:p w14:paraId="7C5C250E" w14:textId="389869D5" w:rsidR="00264B5C" w:rsidRPr="007F3EDB" w:rsidRDefault="00264B5C" w:rsidP="003A1AC7">
      <w:pPr>
        <w:pStyle w:val="Heading1"/>
      </w:pPr>
      <w:bookmarkStart w:id="22" w:name="_Toc175666947"/>
      <w:r>
        <w:lastRenderedPageBreak/>
        <w:t>Approche 2 : Approvisionnement d’un montant INFÉRIEUR aux seuils des accords commerciaux internationaux (et supérieur aux seuils des accords commerciaux nationaux)</w:t>
      </w:r>
      <w:bookmarkEnd w:id="22"/>
    </w:p>
    <w:p w14:paraId="725063BE" w14:textId="1F3954F1" w:rsidR="0090146F" w:rsidRPr="0090146F" w:rsidRDefault="00FC20EC" w:rsidP="006F3345">
      <w:pPr>
        <w:pStyle w:val="Heading2"/>
      </w:pPr>
      <w:bookmarkStart w:id="23" w:name="_Toc175666948"/>
      <w:r>
        <w:t>Stratégie 2 : Les organismes publics doivent privilégier les entreprises canadiennes, dans la mesure du possible.</w:t>
      </w:r>
      <w:bookmarkEnd w:id="23"/>
    </w:p>
    <w:p w14:paraId="3FABA0E6" w14:textId="6684B702" w:rsidR="000D31B5" w:rsidRPr="00057B70" w:rsidRDefault="000D31B5" w:rsidP="0075412A">
      <w:pPr>
        <w:pStyle w:val="Heading3"/>
      </w:pPr>
      <w:r>
        <w:t>Quand l’utiliser</w:t>
      </w:r>
    </w:p>
    <w:p w14:paraId="4B016425" w14:textId="1E12BA71" w:rsidR="009F647A" w:rsidRPr="00AC20FF" w:rsidRDefault="27E3F0ED" w:rsidP="00AC20FF">
      <w:pPr>
        <w:spacing w:before="120" w:after="240"/>
        <w:rPr>
          <w:rFonts w:eastAsia="Times New Roman" w:cs="Arial"/>
          <w:szCs w:val="24"/>
        </w:rPr>
      </w:pPr>
      <w:r>
        <w:t>Lors d’un processus d’approvisionnement par appel d’offres sur invitation</w:t>
      </w:r>
      <w:r w:rsidR="006E7188" w:rsidRPr="00AC20FF">
        <w:rPr>
          <w:rFonts w:eastAsia="Times New Roman" w:cs="Arial"/>
          <w:szCs w:val="24"/>
          <w:lang w:eastAsia="en-CA"/>
        </w:rPr>
        <w:footnoteReference w:id="4"/>
      </w:r>
      <w:r>
        <w:t>, lorsque la valeur est inférieure aux valeurs suivantes :</w:t>
      </w:r>
    </w:p>
    <w:tbl>
      <w:tblPr>
        <w:tblStyle w:val="GridTable4-Accent1"/>
        <w:tblW w:w="0" w:type="auto"/>
        <w:tblLook w:val="0420" w:firstRow="1" w:lastRow="0" w:firstColumn="0" w:lastColumn="0" w:noHBand="0" w:noVBand="1"/>
        <w:tblCaption w:val="Table 5: International trade agreement thresholds"/>
        <w:tblDescription w:val="International trade agreement thresholds are as follows"/>
      </w:tblPr>
      <w:tblGrid>
        <w:gridCol w:w="2665"/>
        <w:gridCol w:w="3118"/>
        <w:gridCol w:w="3402"/>
      </w:tblGrid>
      <w:tr w:rsidR="0089307C" w14:paraId="2F4BE979" w14:textId="77777777" w:rsidTr="0089307C">
        <w:trPr>
          <w:cnfStyle w:val="100000000000" w:firstRow="1" w:lastRow="0" w:firstColumn="0" w:lastColumn="0" w:oddVBand="0" w:evenVBand="0" w:oddHBand="0" w:evenHBand="0" w:firstRowFirstColumn="0" w:firstRowLastColumn="0" w:lastRowFirstColumn="0" w:lastRowLastColumn="0"/>
          <w:trHeight w:val="1163"/>
        </w:trPr>
        <w:tc>
          <w:tcPr>
            <w:tcW w:w="2547" w:type="dxa"/>
          </w:tcPr>
          <w:p w14:paraId="32468FEC" w14:textId="77777777" w:rsidR="0089307C" w:rsidRDefault="0089307C" w:rsidP="00264B5C">
            <w:pPr>
              <w:spacing w:before="0"/>
              <w:contextualSpacing/>
            </w:pPr>
            <w:r>
              <w:t>Type d’approvisionnement</w:t>
            </w:r>
          </w:p>
        </w:tc>
        <w:tc>
          <w:tcPr>
            <w:tcW w:w="3118" w:type="dxa"/>
          </w:tcPr>
          <w:p w14:paraId="60D0A099" w14:textId="77777777" w:rsidR="0089307C" w:rsidRDefault="0089307C" w:rsidP="00264B5C">
            <w:pPr>
              <w:spacing w:before="0"/>
              <w:contextualSpacing/>
            </w:pPr>
            <w:r>
              <w:t>Ministères et la plupart des organismes</w:t>
            </w:r>
          </w:p>
        </w:tc>
        <w:tc>
          <w:tcPr>
            <w:tcW w:w="3402" w:type="dxa"/>
          </w:tcPr>
          <w:p w14:paraId="14086097" w14:textId="77777777" w:rsidR="0089307C" w:rsidRDefault="0089307C" w:rsidP="00264B5C">
            <w:pPr>
              <w:spacing w:before="0"/>
              <w:contextualSpacing/>
            </w:pPr>
            <w:r>
              <w:t>Conseils scolaires, entités universitaires, sanitaires et sociales financées par des fonds publics</w:t>
            </w:r>
          </w:p>
        </w:tc>
      </w:tr>
      <w:tr w:rsidR="0089307C" w14:paraId="65F9F094" w14:textId="77777777" w:rsidTr="0089307C">
        <w:trPr>
          <w:cnfStyle w:val="000000100000" w:firstRow="0" w:lastRow="0" w:firstColumn="0" w:lastColumn="0" w:oddVBand="0" w:evenVBand="0" w:oddHBand="1" w:evenHBand="0" w:firstRowFirstColumn="0" w:firstRowLastColumn="0" w:lastRowFirstColumn="0" w:lastRowLastColumn="0"/>
          <w:trHeight w:val="432"/>
        </w:trPr>
        <w:tc>
          <w:tcPr>
            <w:tcW w:w="2547" w:type="dxa"/>
          </w:tcPr>
          <w:p w14:paraId="482061A0" w14:textId="77777777" w:rsidR="0089307C" w:rsidRDefault="0089307C" w:rsidP="00264B5C">
            <w:pPr>
              <w:spacing w:before="0"/>
              <w:contextualSpacing/>
            </w:pPr>
            <w:r>
              <w:t>Biens</w:t>
            </w:r>
          </w:p>
        </w:tc>
        <w:tc>
          <w:tcPr>
            <w:tcW w:w="3118" w:type="dxa"/>
          </w:tcPr>
          <w:p w14:paraId="3D542D5B" w14:textId="578BF1EE" w:rsidR="0089307C" w:rsidRDefault="0089307C" w:rsidP="003F2910">
            <w:pPr>
              <w:spacing w:before="0"/>
              <w:contextualSpacing/>
            </w:pPr>
            <w:r>
              <w:t>353 300 $</w:t>
            </w:r>
          </w:p>
        </w:tc>
        <w:tc>
          <w:tcPr>
            <w:tcW w:w="3402" w:type="dxa"/>
          </w:tcPr>
          <w:p w14:paraId="504339C9" w14:textId="77777777" w:rsidR="0089307C" w:rsidRDefault="0089307C" w:rsidP="00264B5C">
            <w:pPr>
              <w:spacing w:before="0"/>
              <w:contextualSpacing/>
            </w:pPr>
            <w:r>
              <w:t>353 300 $</w:t>
            </w:r>
          </w:p>
        </w:tc>
      </w:tr>
      <w:tr w:rsidR="0089307C" w14:paraId="7AB50C5A" w14:textId="77777777" w:rsidTr="0089307C">
        <w:trPr>
          <w:trHeight w:val="340"/>
        </w:trPr>
        <w:tc>
          <w:tcPr>
            <w:tcW w:w="2547" w:type="dxa"/>
          </w:tcPr>
          <w:p w14:paraId="31026A10" w14:textId="77777777" w:rsidR="0089307C" w:rsidRDefault="0089307C" w:rsidP="00264B5C">
            <w:pPr>
              <w:spacing w:before="0"/>
              <w:contextualSpacing/>
            </w:pPr>
            <w:r>
              <w:t>Services</w:t>
            </w:r>
          </w:p>
        </w:tc>
        <w:tc>
          <w:tcPr>
            <w:tcW w:w="3118" w:type="dxa"/>
          </w:tcPr>
          <w:p w14:paraId="7A5D21BB" w14:textId="77777777" w:rsidR="0089307C" w:rsidRDefault="0089307C" w:rsidP="00264B5C">
            <w:pPr>
              <w:spacing w:before="0"/>
              <w:contextualSpacing/>
            </w:pPr>
            <w:r>
              <w:t>353 300 $</w:t>
            </w:r>
          </w:p>
        </w:tc>
        <w:tc>
          <w:tcPr>
            <w:tcW w:w="3402" w:type="dxa"/>
          </w:tcPr>
          <w:p w14:paraId="0CA0FA82" w14:textId="77777777" w:rsidR="0089307C" w:rsidRDefault="0089307C" w:rsidP="00264B5C">
            <w:pPr>
              <w:spacing w:before="0"/>
              <w:contextualSpacing/>
            </w:pPr>
            <w:r>
              <w:t>353 300 $</w:t>
            </w:r>
          </w:p>
        </w:tc>
      </w:tr>
      <w:tr w:rsidR="0089307C" w14:paraId="7C6691FE" w14:textId="77777777" w:rsidTr="0089307C">
        <w:trPr>
          <w:cnfStyle w:val="000000100000" w:firstRow="0" w:lastRow="0" w:firstColumn="0" w:lastColumn="0" w:oddVBand="0" w:evenVBand="0" w:oddHBand="1" w:evenHBand="0" w:firstRowFirstColumn="0" w:firstRowLastColumn="0" w:lastRowFirstColumn="0" w:lastRowLastColumn="0"/>
          <w:trHeight w:val="340"/>
        </w:trPr>
        <w:tc>
          <w:tcPr>
            <w:tcW w:w="2547" w:type="dxa"/>
          </w:tcPr>
          <w:p w14:paraId="700F4D56" w14:textId="77777777" w:rsidR="0089307C" w:rsidRDefault="0089307C" w:rsidP="00264B5C">
            <w:pPr>
              <w:spacing w:before="0"/>
              <w:contextualSpacing/>
            </w:pPr>
            <w:r>
              <w:t>Construction</w:t>
            </w:r>
          </w:p>
        </w:tc>
        <w:tc>
          <w:tcPr>
            <w:tcW w:w="3118" w:type="dxa"/>
          </w:tcPr>
          <w:p w14:paraId="18590EDA" w14:textId="77777777" w:rsidR="0089307C" w:rsidRDefault="0089307C" w:rsidP="00264B5C">
            <w:pPr>
              <w:spacing w:before="0"/>
              <w:contextualSpacing/>
            </w:pPr>
            <w:r>
              <w:t>8 800,00 $</w:t>
            </w:r>
          </w:p>
        </w:tc>
        <w:tc>
          <w:tcPr>
            <w:tcW w:w="3402" w:type="dxa"/>
          </w:tcPr>
          <w:p w14:paraId="1E561E84" w14:textId="77777777" w:rsidR="0089307C" w:rsidRDefault="0089307C" w:rsidP="00264B5C">
            <w:pPr>
              <w:spacing w:before="0"/>
              <w:contextualSpacing/>
            </w:pPr>
            <w:r>
              <w:t>8 800,00 $</w:t>
            </w:r>
          </w:p>
        </w:tc>
      </w:tr>
    </w:tbl>
    <w:p w14:paraId="6EE960D2" w14:textId="1D2E4347" w:rsidR="3132278A" w:rsidRPr="007D0EAD" w:rsidRDefault="3132278A" w:rsidP="0075412A">
      <w:pPr>
        <w:pStyle w:val="Heading3"/>
      </w:pPr>
      <w:r>
        <w:t>Description de la stratégie</w:t>
      </w:r>
    </w:p>
    <w:p w14:paraId="3CF2AD54" w14:textId="57E9FE24" w:rsidR="0070318F" w:rsidRPr="00AC20FF" w:rsidRDefault="50823576" w:rsidP="00413F5E">
      <w:pPr>
        <w:pStyle w:val="ListParagraph"/>
        <w:numPr>
          <w:ilvl w:val="0"/>
          <w:numId w:val="46"/>
        </w:numPr>
        <w:spacing w:before="120" w:after="240"/>
        <w:contextualSpacing w:val="0"/>
        <w:rPr>
          <w:rFonts w:eastAsia="Times New Roman" w:cs="Arial"/>
          <w:szCs w:val="24"/>
        </w:rPr>
      </w:pPr>
      <w:r>
        <w:t>Dans la mesure du possible, l’acheteur doit privilégier les entreprises canadiennes par l’un des moyens suivants :</w:t>
      </w:r>
    </w:p>
    <w:p w14:paraId="3725279C" w14:textId="79208535" w:rsidR="0070318F" w:rsidRPr="00AC20FF" w:rsidRDefault="006E4BEB" w:rsidP="00413F5E">
      <w:pPr>
        <w:pStyle w:val="ListParagraph"/>
        <w:numPr>
          <w:ilvl w:val="1"/>
          <w:numId w:val="46"/>
        </w:numPr>
        <w:spacing w:before="120" w:after="240"/>
        <w:contextualSpacing w:val="0"/>
        <w:rPr>
          <w:rFonts w:eastAsia="Times New Roman" w:cs="Arial"/>
          <w:szCs w:val="24"/>
        </w:rPr>
      </w:pPr>
      <w:proofErr w:type="gramStart"/>
      <w:r>
        <w:lastRenderedPageBreak/>
        <w:t>limiter</w:t>
      </w:r>
      <w:proofErr w:type="gramEnd"/>
      <w:r>
        <w:t xml:space="preserve"> la participation à l’appel d’offres à une ou plusieurs entreprises canadiennes;  </w:t>
      </w:r>
    </w:p>
    <w:p w14:paraId="4C4FEC36" w14:textId="473012AB" w:rsidR="006E4BEB" w:rsidRPr="00AC20FF" w:rsidRDefault="006E4BEB" w:rsidP="00413F5E">
      <w:pPr>
        <w:pStyle w:val="ListParagraph"/>
        <w:numPr>
          <w:ilvl w:val="1"/>
          <w:numId w:val="46"/>
        </w:numPr>
        <w:spacing w:before="120" w:after="240"/>
        <w:contextualSpacing w:val="0"/>
        <w:rPr>
          <w:rFonts w:eastAsia="Times New Roman" w:cs="Arial"/>
          <w:szCs w:val="24"/>
        </w:rPr>
      </w:pPr>
      <w:proofErr w:type="gramStart"/>
      <w:r>
        <w:t>appliquer</w:t>
      </w:r>
      <w:proofErr w:type="gramEnd"/>
      <w:r>
        <w:t xml:space="preserve"> un avantage d’évaluation de 10 % aux entreprises canadiennes qui participent à l’appel d’offres.</w:t>
      </w:r>
    </w:p>
    <w:p w14:paraId="5568AE9F" w14:textId="2D0519D1" w:rsidR="007A7776" w:rsidRPr="00E80258" w:rsidRDefault="00847A12" w:rsidP="00BC679E">
      <w:pPr>
        <w:spacing w:after="240"/>
        <w:rPr>
          <w:rFonts w:eastAsia="Times New Roman" w:cs="Times New Roman"/>
          <w:b/>
          <w:bCs/>
          <w:szCs w:val="20"/>
        </w:rPr>
      </w:pPr>
      <w:r>
        <w:t xml:space="preserve">Si l’acheteur souhaite inclure d’autres stratégies, il est libre de le faire. </w:t>
      </w:r>
    </w:p>
    <w:p w14:paraId="609E6B64" w14:textId="33C5B10E" w:rsidR="000D31B5" w:rsidRPr="000202DB" w:rsidRDefault="000D31B5" w:rsidP="0075412A">
      <w:pPr>
        <w:pStyle w:val="Heading3"/>
      </w:pPr>
      <w:r>
        <w:t>Application au processus d’approvisionnement</w:t>
      </w:r>
    </w:p>
    <w:p w14:paraId="388AC7D3" w14:textId="77777777" w:rsidR="000D31B5" w:rsidRPr="000202DB" w:rsidRDefault="000D31B5" w:rsidP="00413F5E">
      <w:pPr>
        <w:pStyle w:val="ListParagraph"/>
        <w:numPr>
          <w:ilvl w:val="0"/>
          <w:numId w:val="52"/>
        </w:numPr>
        <w:spacing w:after="240" w:line="240" w:lineRule="auto"/>
        <w:contextualSpacing w:val="0"/>
        <w:rPr>
          <w:b/>
          <w:bCs/>
          <w:szCs w:val="24"/>
        </w:rPr>
      </w:pPr>
      <w:r>
        <w:rPr>
          <w:b/>
          <w:bCs/>
          <w:szCs w:val="24"/>
        </w:rPr>
        <w:t>Planification de l’approvisionnement</w:t>
      </w:r>
    </w:p>
    <w:p w14:paraId="3F20C417" w14:textId="66D6C72F" w:rsidR="000D31B5" w:rsidRPr="005C739E" w:rsidRDefault="000D31B5" w:rsidP="00413F5E">
      <w:pPr>
        <w:pStyle w:val="ListParagraph"/>
        <w:numPr>
          <w:ilvl w:val="0"/>
          <w:numId w:val="46"/>
        </w:numPr>
        <w:spacing w:before="120" w:after="240"/>
        <w:contextualSpacing w:val="0"/>
        <w:rPr>
          <w:rFonts w:eastAsia="Times New Roman" w:cs="Arial"/>
          <w:szCs w:val="24"/>
        </w:rPr>
      </w:pPr>
      <w:r>
        <w:t>Mener une étude de marché et déterminer s’il existe des entreprises canadiennes admissibles pour fournir les biens ou les services recherchés.</w:t>
      </w:r>
    </w:p>
    <w:p w14:paraId="3CB1A6CA" w14:textId="0C0E6E25" w:rsidR="00BC679E" w:rsidRPr="005C739E" w:rsidRDefault="000D31B5" w:rsidP="00413F5E">
      <w:pPr>
        <w:pStyle w:val="ListParagraph"/>
        <w:numPr>
          <w:ilvl w:val="0"/>
          <w:numId w:val="46"/>
        </w:numPr>
        <w:spacing w:before="120" w:after="240"/>
        <w:contextualSpacing w:val="0"/>
        <w:rPr>
          <w:rFonts w:eastAsia="Times New Roman" w:cs="Arial"/>
          <w:szCs w:val="24"/>
        </w:rPr>
      </w:pPr>
      <w:r>
        <w:t>Solliciter les approbations appropriées.</w:t>
      </w:r>
    </w:p>
    <w:p w14:paraId="5A175FED" w14:textId="77777777" w:rsidR="000D31B5" w:rsidRPr="000202DB" w:rsidRDefault="000D31B5" w:rsidP="00413F5E">
      <w:pPr>
        <w:pStyle w:val="ListParagraph"/>
        <w:numPr>
          <w:ilvl w:val="0"/>
          <w:numId w:val="52"/>
        </w:numPr>
        <w:spacing w:after="240" w:line="240" w:lineRule="auto"/>
        <w:contextualSpacing w:val="0"/>
        <w:rPr>
          <w:b/>
          <w:bCs/>
          <w:szCs w:val="24"/>
        </w:rPr>
      </w:pPr>
      <w:r>
        <w:rPr>
          <w:b/>
          <w:bCs/>
          <w:szCs w:val="24"/>
        </w:rPr>
        <w:t>Approvisionnement</w:t>
      </w:r>
    </w:p>
    <w:p w14:paraId="4B7946C1" w14:textId="3975A245" w:rsidR="00BD761B" w:rsidRPr="005C739E" w:rsidRDefault="00BD761B" w:rsidP="00413F5E">
      <w:pPr>
        <w:pStyle w:val="ListParagraph"/>
        <w:numPr>
          <w:ilvl w:val="0"/>
          <w:numId w:val="46"/>
        </w:numPr>
        <w:spacing w:before="120" w:after="240"/>
        <w:contextualSpacing w:val="0"/>
        <w:rPr>
          <w:rFonts w:eastAsia="Times New Roman" w:cs="Arial"/>
          <w:szCs w:val="24"/>
        </w:rPr>
      </w:pPr>
      <w:r>
        <w:t>Rédiger le document d’approvisionnement (par exemple, la demande de soumissions).</w:t>
      </w:r>
    </w:p>
    <w:p w14:paraId="63E94CB6" w14:textId="321FC3DB" w:rsidR="00C17462" w:rsidRPr="005C739E" w:rsidRDefault="00746873" w:rsidP="00413F5E">
      <w:pPr>
        <w:pStyle w:val="ListParagraph"/>
        <w:numPr>
          <w:ilvl w:val="0"/>
          <w:numId w:val="46"/>
        </w:numPr>
        <w:spacing w:before="120" w:after="240"/>
        <w:contextualSpacing w:val="0"/>
        <w:rPr>
          <w:rFonts w:eastAsia="Times New Roman" w:cs="Arial"/>
          <w:szCs w:val="24"/>
        </w:rPr>
      </w:pPr>
      <w:r>
        <w:t>Le document d’approvisionnement doit clairement indiquer comment la préférence sera accordée aux entreprises canadiennes, soit :</w:t>
      </w:r>
    </w:p>
    <w:p w14:paraId="0830CC5F" w14:textId="3DCB5654" w:rsidR="00C17462" w:rsidRPr="005C739E" w:rsidRDefault="00C17462" w:rsidP="00413F5E">
      <w:pPr>
        <w:pStyle w:val="ListParagraph"/>
        <w:numPr>
          <w:ilvl w:val="1"/>
          <w:numId w:val="46"/>
        </w:numPr>
        <w:spacing w:before="120" w:after="240"/>
        <w:rPr>
          <w:rFonts w:eastAsia="Times New Roman" w:cs="Arial"/>
          <w:szCs w:val="24"/>
        </w:rPr>
      </w:pPr>
      <w:proofErr w:type="gramStart"/>
      <w:r>
        <w:t>en</w:t>
      </w:r>
      <w:proofErr w:type="gramEnd"/>
      <w:r>
        <w:t xml:space="preserve"> limitant l’invitation aux seules entreprises canadiennes; </w:t>
      </w:r>
    </w:p>
    <w:p w14:paraId="531CFB5A" w14:textId="1B0826E4" w:rsidR="00C17462" w:rsidRPr="005C739E" w:rsidRDefault="00C17462" w:rsidP="00413F5E">
      <w:pPr>
        <w:pStyle w:val="ListParagraph"/>
        <w:numPr>
          <w:ilvl w:val="1"/>
          <w:numId w:val="46"/>
        </w:numPr>
        <w:spacing w:before="120" w:after="240"/>
        <w:contextualSpacing w:val="0"/>
        <w:rPr>
          <w:rFonts w:eastAsia="Times New Roman" w:cs="Arial"/>
          <w:szCs w:val="24"/>
        </w:rPr>
      </w:pPr>
      <w:proofErr w:type="gramStart"/>
      <w:r>
        <w:t>en</w:t>
      </w:r>
      <w:proofErr w:type="gramEnd"/>
      <w:r>
        <w:t xml:space="preserve"> appliquant un avantage d’évaluation de 10 % aux entreprises canadiennes qui participent à l’appel d’offres.</w:t>
      </w:r>
    </w:p>
    <w:p w14:paraId="0C825585" w14:textId="469EE170" w:rsidR="000D31B5" w:rsidRPr="005C739E" w:rsidRDefault="000D31B5" w:rsidP="00413F5E">
      <w:pPr>
        <w:pStyle w:val="ListParagraph"/>
        <w:numPr>
          <w:ilvl w:val="0"/>
          <w:numId w:val="46"/>
        </w:numPr>
        <w:spacing w:before="120" w:after="240"/>
        <w:contextualSpacing w:val="0"/>
        <w:rPr>
          <w:rFonts w:eastAsia="Times New Roman" w:cs="Arial"/>
          <w:szCs w:val="24"/>
        </w:rPr>
      </w:pPr>
      <w:r>
        <w:t>Publier l’appel d’offres sur le portail électronique d’appels d’offres de l’organisme.</w:t>
      </w:r>
    </w:p>
    <w:p w14:paraId="7F178FE7" w14:textId="77777777" w:rsidR="000D31B5" w:rsidRPr="000202DB" w:rsidRDefault="000D31B5" w:rsidP="00413F5E">
      <w:pPr>
        <w:pStyle w:val="ListParagraph"/>
        <w:numPr>
          <w:ilvl w:val="0"/>
          <w:numId w:val="52"/>
        </w:numPr>
        <w:spacing w:after="240" w:line="240" w:lineRule="auto"/>
        <w:contextualSpacing w:val="0"/>
        <w:rPr>
          <w:b/>
          <w:bCs/>
          <w:szCs w:val="24"/>
        </w:rPr>
      </w:pPr>
      <w:r>
        <w:rPr>
          <w:b/>
          <w:bCs/>
          <w:szCs w:val="24"/>
        </w:rPr>
        <w:t>Évaluation des réponses</w:t>
      </w:r>
    </w:p>
    <w:p w14:paraId="47D6EE76" w14:textId="73DF93FA" w:rsidR="00BC679E" w:rsidRPr="005C739E" w:rsidRDefault="00CD50E5" w:rsidP="00413F5E">
      <w:pPr>
        <w:pStyle w:val="ListParagraph"/>
        <w:numPr>
          <w:ilvl w:val="0"/>
          <w:numId w:val="46"/>
        </w:numPr>
        <w:spacing w:before="120" w:after="240"/>
        <w:contextualSpacing w:val="0"/>
        <w:rPr>
          <w:rFonts w:eastAsia="Times New Roman" w:cs="Arial"/>
          <w:szCs w:val="24"/>
        </w:rPr>
      </w:pPr>
      <w:r>
        <w:t>Évaluer les soumissions en fonction des critères publiés.</w:t>
      </w:r>
    </w:p>
    <w:p w14:paraId="425014EC" w14:textId="77777777" w:rsidR="000D31B5" w:rsidRPr="000202DB" w:rsidRDefault="000D31B5" w:rsidP="00413F5E">
      <w:pPr>
        <w:pStyle w:val="ListParagraph"/>
        <w:numPr>
          <w:ilvl w:val="0"/>
          <w:numId w:val="52"/>
        </w:numPr>
        <w:spacing w:after="240" w:line="240" w:lineRule="auto"/>
        <w:contextualSpacing w:val="0"/>
        <w:rPr>
          <w:b/>
          <w:bCs/>
          <w:szCs w:val="24"/>
        </w:rPr>
      </w:pPr>
      <w:r>
        <w:rPr>
          <w:b/>
          <w:bCs/>
          <w:szCs w:val="24"/>
        </w:rPr>
        <w:t>Rédaction des contrats</w:t>
      </w:r>
    </w:p>
    <w:p w14:paraId="153F66E5" w14:textId="42C9022E" w:rsidR="000D31B5" w:rsidRPr="005C739E" w:rsidRDefault="000D31B5" w:rsidP="00413F5E">
      <w:pPr>
        <w:pStyle w:val="ListParagraph"/>
        <w:numPr>
          <w:ilvl w:val="0"/>
          <w:numId w:val="46"/>
        </w:numPr>
        <w:spacing w:before="120" w:after="240"/>
        <w:contextualSpacing w:val="0"/>
        <w:rPr>
          <w:rFonts w:eastAsia="Times New Roman" w:cs="Arial"/>
          <w:szCs w:val="24"/>
        </w:rPr>
      </w:pPr>
      <w:r>
        <w:t>Attribuer le contrat</w:t>
      </w:r>
    </w:p>
    <w:p w14:paraId="3C5B2BC5" w14:textId="08BFDBD4" w:rsidR="000D31B5" w:rsidRPr="005C739E" w:rsidRDefault="000D31B5" w:rsidP="00413F5E">
      <w:pPr>
        <w:pStyle w:val="ListParagraph"/>
        <w:numPr>
          <w:ilvl w:val="0"/>
          <w:numId w:val="46"/>
        </w:numPr>
        <w:spacing w:before="120" w:after="240"/>
        <w:contextualSpacing w:val="0"/>
        <w:rPr>
          <w:rFonts w:eastAsia="Times New Roman" w:cs="Arial"/>
          <w:szCs w:val="24"/>
        </w:rPr>
      </w:pPr>
      <w:r>
        <w:lastRenderedPageBreak/>
        <w:t>Informer les fournisseurs</w:t>
      </w:r>
    </w:p>
    <w:p w14:paraId="10AAF079" w14:textId="77777777" w:rsidR="000D31B5" w:rsidRPr="000202DB" w:rsidRDefault="000D31B5" w:rsidP="00413F5E">
      <w:pPr>
        <w:pStyle w:val="ListParagraph"/>
        <w:numPr>
          <w:ilvl w:val="0"/>
          <w:numId w:val="52"/>
        </w:numPr>
        <w:spacing w:after="240" w:line="240" w:lineRule="auto"/>
        <w:contextualSpacing w:val="0"/>
        <w:rPr>
          <w:b/>
          <w:bCs/>
          <w:szCs w:val="24"/>
        </w:rPr>
      </w:pPr>
      <w:r>
        <w:rPr>
          <w:b/>
          <w:bCs/>
          <w:szCs w:val="24"/>
        </w:rPr>
        <w:t>Gestion et clôture des contrats</w:t>
      </w:r>
    </w:p>
    <w:p w14:paraId="08D80583" w14:textId="77777777" w:rsidR="000D31B5" w:rsidRPr="005C739E" w:rsidRDefault="000D31B5" w:rsidP="00413F5E">
      <w:pPr>
        <w:pStyle w:val="ListParagraph"/>
        <w:numPr>
          <w:ilvl w:val="0"/>
          <w:numId w:val="46"/>
        </w:numPr>
        <w:spacing w:before="120" w:after="240"/>
        <w:contextualSpacing w:val="0"/>
        <w:rPr>
          <w:rFonts w:eastAsia="Times New Roman" w:cs="Arial"/>
          <w:szCs w:val="24"/>
        </w:rPr>
      </w:pPr>
      <w:r>
        <w:t>Aucun changement au processus actuel</w:t>
      </w:r>
    </w:p>
    <w:p w14:paraId="0E547F24" w14:textId="6BDA571C" w:rsidR="001C5384" w:rsidRPr="000202DB" w:rsidRDefault="001C5384" w:rsidP="003A1AC7">
      <w:pPr>
        <w:pStyle w:val="Heading1"/>
      </w:pPr>
      <w:bookmarkStart w:id="24" w:name="_Toc175666949"/>
      <w:r>
        <w:t>Approche 3 : Approvisionnement d’un montant SUPÉRIEUR aux seuils établis dans les accords internationaux commerciaux</w:t>
      </w:r>
      <w:bookmarkEnd w:id="24"/>
      <w:r>
        <w:t xml:space="preserve"> </w:t>
      </w:r>
    </w:p>
    <w:p w14:paraId="64B88CAF" w14:textId="47572BD9" w:rsidR="00A56CC5" w:rsidRDefault="00E94563" w:rsidP="00057B70">
      <w:pPr>
        <w:spacing w:before="120" w:after="240"/>
        <w:rPr>
          <w:rFonts w:eastAsia="Times New Roman" w:cs="Times New Roman"/>
        </w:rPr>
      </w:pPr>
      <w:bookmarkStart w:id="25" w:name="_Toc90037128"/>
      <w:r>
        <w:t xml:space="preserve">Les acheteurs sont tenus d’utiliser une ou plusieurs des stratégies suivantes pour appliquer l’approche correspondant aux approvisionnements supérieurs aux seuils des accords commerciaux, dans la mesure du possible. </w:t>
      </w:r>
    </w:p>
    <w:p w14:paraId="370138CC" w14:textId="698BCBDE" w:rsidR="00E94563" w:rsidRDefault="00E94563" w:rsidP="00057B70">
      <w:pPr>
        <w:spacing w:before="120" w:after="240"/>
        <w:rPr>
          <w:rFonts w:eastAsia="Times New Roman"/>
          <w:b/>
          <w:bCs/>
        </w:rPr>
      </w:pPr>
      <w:r>
        <w:t xml:space="preserve">Pour être parfaitement clair, plusieurs stratégies peuvent être utilisées ensemble. Par exemple, la stratégie des critères nationaux pondérés peut être utilisée en limitant un appel d’offres aux partenaires commerciaux de l’Ontario. </w:t>
      </w:r>
    </w:p>
    <w:p w14:paraId="1AC41D11" w14:textId="77777777" w:rsidR="007353BE" w:rsidRPr="007353BE" w:rsidRDefault="007353BE" w:rsidP="00413F5E">
      <w:pPr>
        <w:pStyle w:val="ListParagraph"/>
        <w:numPr>
          <w:ilvl w:val="0"/>
          <w:numId w:val="8"/>
        </w:numPr>
        <w:spacing w:before="120" w:after="240"/>
        <w:ind w:left="360"/>
        <w:contextualSpacing w:val="0"/>
        <w:rPr>
          <w:rFonts w:eastAsia="Raleway" w:cs="Raleway"/>
        </w:rPr>
      </w:pPr>
      <w:r>
        <w:t>Les entités gouvernementales doivent privilégier les entreprises canadiennes et les entreprises des partenaires commerciaux de l’Ontario,</w:t>
      </w:r>
    </w:p>
    <w:p w14:paraId="2BC4F6B6" w14:textId="4A3DD034" w:rsidR="00E309E2" w:rsidRPr="00E309E2" w:rsidRDefault="00E309E2" w:rsidP="00413F5E">
      <w:pPr>
        <w:pStyle w:val="ListParagraph"/>
        <w:numPr>
          <w:ilvl w:val="0"/>
          <w:numId w:val="8"/>
        </w:numPr>
        <w:spacing w:before="120" w:after="240"/>
        <w:ind w:left="360"/>
        <w:contextualSpacing w:val="0"/>
        <w:rPr>
          <w:rFonts w:eastAsia="Raleway" w:cs="Raleway"/>
        </w:rPr>
      </w:pPr>
      <w:r>
        <w:t>Appliquer des critères nationaux pondérés dans les évaluations d’approvisionnement (p. ex., les fournisseurs doivent démontrer qu’ils respectent les normes de l’environnement et du travail de l’Ontario).</w:t>
      </w:r>
    </w:p>
    <w:p w14:paraId="6AC689D2" w14:textId="07A876B8" w:rsidR="001473F7" w:rsidRDefault="00D33B12" w:rsidP="00413F5E">
      <w:pPr>
        <w:pStyle w:val="ListParagraph"/>
        <w:numPr>
          <w:ilvl w:val="0"/>
          <w:numId w:val="8"/>
        </w:numPr>
        <w:spacing w:before="120" w:after="240"/>
        <w:ind w:left="360"/>
        <w:contextualSpacing w:val="0"/>
      </w:pPr>
      <w:r>
        <w:t>Pour les contrats d’approvisionnement d’une valeur estimée à 50 millions de dollars ou plus dans certains secteurs, il faut inclure une obligation de retombées industrielles, régionales et technologiques (les IRTB) pour les fournisseurs. Cette obligation exige des fournisseurs qui répondent à un appel d’offres d’un montant élevé qu’ils expliquent en détail comment leurs propositions apporteront des avantages économiques locaux à la province.</w:t>
      </w:r>
    </w:p>
    <w:p w14:paraId="2E24B300" w14:textId="53C7D4D4" w:rsidR="00D5739E" w:rsidRPr="000202DB" w:rsidRDefault="00D5739E" w:rsidP="006F3345">
      <w:pPr>
        <w:pStyle w:val="Heading2"/>
      </w:pPr>
      <w:bookmarkStart w:id="26" w:name="_Toc175666950"/>
      <w:r>
        <w:lastRenderedPageBreak/>
        <w:t>Stratégie 3 : Les entités gouvernementales doivent privilégier, dans la mesure du possible, les entreprises des partenaires commerciaux de l’Ontario.</w:t>
      </w:r>
      <w:bookmarkEnd w:id="26"/>
    </w:p>
    <w:p w14:paraId="2087B42C" w14:textId="77777777" w:rsidR="00FD7E1A" w:rsidRPr="000202DB" w:rsidRDefault="00FD7E1A" w:rsidP="0075412A">
      <w:pPr>
        <w:pStyle w:val="Heading3"/>
      </w:pPr>
      <w:r>
        <w:t>Quand l’utiliser</w:t>
      </w:r>
    </w:p>
    <w:p w14:paraId="0B6E4632" w14:textId="4C1AF6CA" w:rsidR="00FD7E1A" w:rsidRPr="00FD7E1A" w:rsidRDefault="00FD7E1A" w:rsidP="00FD7E1A">
      <w:pPr>
        <w:spacing w:after="240"/>
      </w:pPr>
      <w:r>
        <w:t>Pour les approvisionnements dont la valeur est égale ou supérieure aux seuils des accords commerciaux internationaux.</w:t>
      </w:r>
    </w:p>
    <w:p w14:paraId="2DBD9428" w14:textId="2C9FD9AB" w:rsidR="004A086B" w:rsidRDefault="004A086B" w:rsidP="00BC679E">
      <w:pPr>
        <w:spacing w:after="240" w:line="240" w:lineRule="auto"/>
        <w:rPr>
          <w:rFonts w:eastAsiaTheme="majorEastAsia" w:cstheme="majorBidi"/>
          <w:b/>
          <w:bCs/>
          <w:color w:val="006E81" w:themeColor="text2"/>
        </w:rPr>
      </w:pPr>
      <w:r>
        <w:rPr>
          <w:b/>
          <w:bCs/>
          <w:color w:val="006E81" w:themeColor="text2"/>
        </w:rPr>
        <w:t>Description de la stratégie</w:t>
      </w:r>
    </w:p>
    <w:p w14:paraId="0A81F4A0" w14:textId="2743B8B7" w:rsidR="004A086B" w:rsidRPr="000202DB" w:rsidRDefault="004A086B" w:rsidP="00590D3C">
      <w:pPr>
        <w:spacing w:after="240" w:line="240" w:lineRule="auto"/>
      </w:pPr>
      <w:r>
        <w:t>Les entités gouvernementales doivent privilégier les entreprises canadiennes et les entreprises des partenaires commerciaux de l’Ontario (voir l’</w:t>
      </w:r>
      <w:hyperlink w:anchor="_Appendix_C:_List_1" w:history="1">
        <w:r>
          <w:rPr>
            <w:rStyle w:val="Hyperlink"/>
          </w:rPr>
          <w:t>annexe C</w:t>
        </w:r>
      </w:hyperlink>
      <w:r>
        <w:t xml:space="preserve"> pour obtenir la liste des partenaires commerciaux de l’Ontario).</w:t>
      </w:r>
    </w:p>
    <w:p w14:paraId="71EB51E9" w14:textId="40202F26" w:rsidR="0044335F" w:rsidRPr="000202DB" w:rsidRDefault="0044335F" w:rsidP="0075412A">
      <w:pPr>
        <w:pStyle w:val="Heading3"/>
      </w:pPr>
      <w:r>
        <w:t>Application au processus d’approvisionnement</w:t>
      </w:r>
    </w:p>
    <w:p w14:paraId="7FB5E4B4" w14:textId="77777777" w:rsidR="0044335F" w:rsidRPr="000202DB" w:rsidRDefault="0044335F" w:rsidP="00413F5E">
      <w:pPr>
        <w:pStyle w:val="ListParagraph"/>
        <w:numPr>
          <w:ilvl w:val="0"/>
          <w:numId w:val="9"/>
        </w:numPr>
        <w:spacing w:after="240" w:line="240" w:lineRule="auto"/>
        <w:ind w:left="360" w:hanging="357"/>
        <w:contextualSpacing w:val="0"/>
        <w:rPr>
          <w:b/>
          <w:bCs/>
          <w:szCs w:val="24"/>
        </w:rPr>
      </w:pPr>
      <w:r>
        <w:rPr>
          <w:b/>
          <w:bCs/>
          <w:szCs w:val="24"/>
        </w:rPr>
        <w:t>Planification de l’approvisionnement</w:t>
      </w:r>
    </w:p>
    <w:p w14:paraId="0013D5B0" w14:textId="693BF552" w:rsidR="0044335F" w:rsidRPr="002B5FD8" w:rsidRDefault="0044335F" w:rsidP="00413F5E">
      <w:pPr>
        <w:pStyle w:val="ListParagraph"/>
        <w:numPr>
          <w:ilvl w:val="0"/>
          <w:numId w:val="46"/>
        </w:numPr>
        <w:spacing w:before="120" w:after="240"/>
        <w:contextualSpacing w:val="0"/>
        <w:rPr>
          <w:rFonts w:eastAsia="Times New Roman" w:cs="Arial"/>
          <w:szCs w:val="24"/>
        </w:rPr>
      </w:pPr>
      <w:r>
        <w:t>Réaliser une étude de marché</w:t>
      </w:r>
    </w:p>
    <w:p w14:paraId="25F73DF4" w14:textId="3C3F497E" w:rsidR="0044335F" w:rsidRPr="002B5FD8" w:rsidRDefault="0044335F" w:rsidP="00413F5E">
      <w:pPr>
        <w:pStyle w:val="ListParagraph"/>
        <w:numPr>
          <w:ilvl w:val="0"/>
          <w:numId w:val="46"/>
        </w:numPr>
        <w:spacing w:before="120" w:after="240"/>
        <w:contextualSpacing w:val="0"/>
        <w:rPr>
          <w:rFonts w:eastAsia="Times New Roman" w:cs="Arial"/>
          <w:szCs w:val="24"/>
        </w:rPr>
      </w:pPr>
      <w:r>
        <w:t>Solliciter les approbations appropriées.</w:t>
      </w:r>
    </w:p>
    <w:p w14:paraId="22F233F7" w14:textId="77777777" w:rsidR="0044335F" w:rsidRPr="000202DB" w:rsidRDefault="0044335F" w:rsidP="00413F5E">
      <w:pPr>
        <w:pStyle w:val="ListParagraph"/>
        <w:numPr>
          <w:ilvl w:val="0"/>
          <w:numId w:val="9"/>
        </w:numPr>
        <w:spacing w:after="240" w:line="240" w:lineRule="auto"/>
        <w:ind w:left="360" w:hanging="357"/>
        <w:contextualSpacing w:val="0"/>
        <w:rPr>
          <w:b/>
          <w:bCs/>
          <w:szCs w:val="24"/>
        </w:rPr>
      </w:pPr>
      <w:r>
        <w:rPr>
          <w:b/>
          <w:bCs/>
          <w:szCs w:val="24"/>
        </w:rPr>
        <w:t>Approvisionnement</w:t>
      </w:r>
    </w:p>
    <w:p w14:paraId="09CCFE0B" w14:textId="20D798DC" w:rsidR="00562DC1" w:rsidRPr="002B5FD8" w:rsidRDefault="00A6581F" w:rsidP="00413F5E">
      <w:pPr>
        <w:pStyle w:val="ListParagraph"/>
        <w:numPr>
          <w:ilvl w:val="0"/>
          <w:numId w:val="46"/>
        </w:numPr>
        <w:spacing w:before="120" w:after="240"/>
        <w:contextualSpacing w:val="0"/>
        <w:rPr>
          <w:rFonts w:eastAsia="Times New Roman" w:cs="Arial"/>
          <w:szCs w:val="24"/>
        </w:rPr>
      </w:pPr>
      <w:r>
        <w:t>Le document d’approvisionnement doit clairement indiquer comment la préférence sera accordée aux entreprises canadiennes et aux partenaires commerciaux de l’Ontario, soit :</w:t>
      </w:r>
    </w:p>
    <w:p w14:paraId="183A9489" w14:textId="39F9D98E" w:rsidR="00562DC1" w:rsidRPr="002B5FD8" w:rsidRDefault="00562DC1" w:rsidP="00413F5E">
      <w:pPr>
        <w:pStyle w:val="ListParagraph"/>
        <w:numPr>
          <w:ilvl w:val="1"/>
          <w:numId w:val="46"/>
        </w:numPr>
        <w:spacing w:before="120" w:after="240"/>
        <w:rPr>
          <w:rFonts w:eastAsia="Times New Roman" w:cs="Arial"/>
          <w:szCs w:val="24"/>
        </w:rPr>
      </w:pPr>
      <w:proofErr w:type="gramStart"/>
      <w:r>
        <w:t>en</w:t>
      </w:r>
      <w:proofErr w:type="gramEnd"/>
      <w:r>
        <w:t xml:space="preserve"> limitant l’admissibilité aux entreprises canadiennes et aux partenaires commerciaux de l’Ontario.</w:t>
      </w:r>
    </w:p>
    <w:p w14:paraId="40C05BCE" w14:textId="1872D32B" w:rsidR="0044335F" w:rsidRPr="002B5FD8" w:rsidRDefault="2DD8AEA5" w:rsidP="00413F5E">
      <w:pPr>
        <w:pStyle w:val="ListParagraph"/>
        <w:numPr>
          <w:ilvl w:val="2"/>
          <w:numId w:val="46"/>
        </w:numPr>
        <w:spacing w:before="120" w:after="240"/>
        <w:contextualSpacing w:val="0"/>
        <w:rPr>
          <w:rFonts w:eastAsia="Times New Roman" w:cs="Arial"/>
          <w:szCs w:val="24"/>
        </w:rPr>
      </w:pPr>
      <w:r>
        <w:t>Par exemple : Le fournisseur provient-il d’une collectivité publique qui a conclu un accord commercial avec l’Ontario et/ou le Canada? Dans l’affirmative, préciser la collectivité publique concernée et le(s) accord(s) commercial(aux) correspondant(s).</w:t>
      </w:r>
    </w:p>
    <w:p w14:paraId="2E8EB5D8" w14:textId="13F05408" w:rsidR="0044335F" w:rsidRPr="002B5FD8" w:rsidRDefault="0044335F" w:rsidP="00413F5E">
      <w:pPr>
        <w:pStyle w:val="ListParagraph"/>
        <w:numPr>
          <w:ilvl w:val="0"/>
          <w:numId w:val="46"/>
        </w:numPr>
        <w:spacing w:before="120" w:after="240"/>
        <w:contextualSpacing w:val="0"/>
        <w:rPr>
          <w:rFonts w:eastAsia="Times New Roman" w:cs="Arial"/>
          <w:szCs w:val="24"/>
        </w:rPr>
      </w:pPr>
      <w:r>
        <w:lastRenderedPageBreak/>
        <w:t>Publier l’appel d’offres sur le portail électronique d’appels d’offres de l’organisme.</w:t>
      </w:r>
    </w:p>
    <w:p w14:paraId="14CE09FA" w14:textId="4551E598" w:rsidR="0044335F" w:rsidRPr="000202DB" w:rsidRDefault="2DD8AEA5" w:rsidP="00413F5E">
      <w:pPr>
        <w:pStyle w:val="ListParagraph"/>
        <w:numPr>
          <w:ilvl w:val="0"/>
          <w:numId w:val="9"/>
        </w:numPr>
        <w:spacing w:after="240" w:line="240" w:lineRule="auto"/>
        <w:ind w:left="360" w:hanging="357"/>
        <w:contextualSpacing w:val="0"/>
        <w:rPr>
          <w:b/>
          <w:bCs/>
          <w:szCs w:val="24"/>
        </w:rPr>
      </w:pPr>
      <w:r>
        <w:rPr>
          <w:b/>
          <w:bCs/>
          <w:szCs w:val="24"/>
        </w:rPr>
        <w:t>Évaluation des réponses</w:t>
      </w:r>
    </w:p>
    <w:p w14:paraId="3F6183C0" w14:textId="6C121F4B" w:rsidR="0044335F" w:rsidRPr="002B6D7F" w:rsidRDefault="003A077C" w:rsidP="00413F5E">
      <w:pPr>
        <w:pStyle w:val="ListParagraph"/>
        <w:numPr>
          <w:ilvl w:val="0"/>
          <w:numId w:val="46"/>
        </w:numPr>
        <w:spacing w:before="120" w:after="240"/>
        <w:contextualSpacing w:val="0"/>
        <w:rPr>
          <w:rFonts w:eastAsia="Times New Roman" w:cs="Arial"/>
          <w:szCs w:val="24"/>
        </w:rPr>
      </w:pPr>
      <w:r>
        <w:t>Confirmer que toute soumission comprend une attestation de l’entreprise indiquant qu’elle se trouve dans le ressort territorial d’un partenaire commercial de l’Ontario (voir l’</w:t>
      </w:r>
      <w:hyperlink w:anchor="_Appendix_C:_List_1" w:history="1">
        <w:r>
          <w:t>annexe C</w:t>
        </w:r>
      </w:hyperlink>
      <w:r>
        <w:t>) ou inclure une exigence d’admissibilité obligatoire. Si un fournisseur ne satisfait pas à l’exigence d’admissibilité obligatoire telle qu’elle est définie dans le document d’approvisionnement, aucune autre évaluation de la soumission de ce fournisseur ne peut avoir lieu.</w:t>
      </w:r>
    </w:p>
    <w:p w14:paraId="7DC90DF6" w14:textId="16EE67BF" w:rsidR="00BC679E" w:rsidRPr="00D71068" w:rsidRDefault="700C402A" w:rsidP="00413F5E">
      <w:pPr>
        <w:pStyle w:val="ListParagraph"/>
        <w:numPr>
          <w:ilvl w:val="0"/>
          <w:numId w:val="46"/>
        </w:numPr>
        <w:spacing w:before="120" w:after="240"/>
        <w:contextualSpacing w:val="0"/>
        <w:rPr>
          <w:rFonts w:eastAsia="Times New Roman" w:cs="Arial"/>
          <w:szCs w:val="24"/>
        </w:rPr>
      </w:pPr>
      <w:r>
        <w:t>Évaluation des critères cotés</w:t>
      </w:r>
    </w:p>
    <w:p w14:paraId="1B0844FA" w14:textId="26BDD664" w:rsidR="0044335F" w:rsidRPr="000202DB" w:rsidRDefault="0044335F" w:rsidP="00413F5E">
      <w:pPr>
        <w:pStyle w:val="ListParagraph"/>
        <w:numPr>
          <w:ilvl w:val="0"/>
          <w:numId w:val="9"/>
        </w:numPr>
        <w:spacing w:after="240" w:line="240" w:lineRule="auto"/>
        <w:ind w:left="360" w:hanging="357"/>
        <w:contextualSpacing w:val="0"/>
        <w:rPr>
          <w:b/>
          <w:bCs/>
          <w:szCs w:val="24"/>
        </w:rPr>
      </w:pPr>
      <w:r>
        <w:rPr>
          <w:b/>
          <w:bCs/>
          <w:szCs w:val="24"/>
        </w:rPr>
        <w:t>Rédaction des contrats</w:t>
      </w:r>
    </w:p>
    <w:p w14:paraId="274AF7B3" w14:textId="25F48295" w:rsidR="0044335F" w:rsidRPr="002B6D7F" w:rsidRDefault="00FD32EA" w:rsidP="00413F5E">
      <w:pPr>
        <w:pStyle w:val="ListParagraph"/>
        <w:numPr>
          <w:ilvl w:val="0"/>
          <w:numId w:val="46"/>
        </w:numPr>
        <w:spacing w:before="120" w:after="240"/>
        <w:contextualSpacing w:val="0"/>
        <w:rPr>
          <w:rFonts w:eastAsia="Times New Roman" w:cs="Arial"/>
          <w:szCs w:val="24"/>
        </w:rPr>
      </w:pPr>
      <w:r>
        <w:t>Attribuer le contrat</w:t>
      </w:r>
    </w:p>
    <w:p w14:paraId="2179D1D9" w14:textId="4A11BFB6" w:rsidR="00463C38" w:rsidRPr="002B6D7F" w:rsidRDefault="00463C38" w:rsidP="00413F5E">
      <w:pPr>
        <w:pStyle w:val="ListParagraph"/>
        <w:numPr>
          <w:ilvl w:val="0"/>
          <w:numId w:val="46"/>
        </w:numPr>
        <w:spacing w:before="120" w:after="240"/>
        <w:contextualSpacing w:val="0"/>
        <w:rPr>
          <w:rFonts w:eastAsia="Times New Roman" w:cs="Arial"/>
          <w:szCs w:val="24"/>
        </w:rPr>
      </w:pPr>
      <w:r>
        <w:t>Informer les fournisseurs</w:t>
      </w:r>
    </w:p>
    <w:p w14:paraId="020D4F72" w14:textId="23568A72" w:rsidR="0044335F" w:rsidRPr="000202DB" w:rsidRDefault="0044335F" w:rsidP="00413F5E">
      <w:pPr>
        <w:pStyle w:val="ListParagraph"/>
        <w:numPr>
          <w:ilvl w:val="0"/>
          <w:numId w:val="9"/>
        </w:numPr>
        <w:spacing w:after="240" w:line="240" w:lineRule="auto"/>
        <w:ind w:left="360" w:hanging="357"/>
        <w:contextualSpacing w:val="0"/>
        <w:rPr>
          <w:b/>
          <w:bCs/>
          <w:szCs w:val="24"/>
        </w:rPr>
      </w:pPr>
      <w:r>
        <w:rPr>
          <w:b/>
          <w:bCs/>
          <w:szCs w:val="24"/>
        </w:rPr>
        <w:t>Gestion et clôture des contrats</w:t>
      </w:r>
    </w:p>
    <w:p w14:paraId="302E1D63" w14:textId="66D58898" w:rsidR="00D47C0B" w:rsidRPr="002B6D7F" w:rsidRDefault="0044335F" w:rsidP="00413F5E">
      <w:pPr>
        <w:pStyle w:val="ListParagraph"/>
        <w:numPr>
          <w:ilvl w:val="0"/>
          <w:numId w:val="46"/>
        </w:numPr>
        <w:spacing w:before="120" w:after="240"/>
        <w:contextualSpacing w:val="0"/>
        <w:rPr>
          <w:rFonts w:eastAsia="Times New Roman" w:cs="Arial"/>
          <w:szCs w:val="24"/>
        </w:rPr>
      </w:pPr>
      <w:r>
        <w:t>Aucun changement au processus</w:t>
      </w:r>
      <w:bookmarkEnd w:id="25"/>
    </w:p>
    <w:p w14:paraId="2EC4C828" w14:textId="63F148E2" w:rsidR="00C54582" w:rsidRPr="00F50DA8" w:rsidRDefault="00463C38" w:rsidP="006F3345">
      <w:pPr>
        <w:pStyle w:val="Heading2"/>
      </w:pPr>
      <w:bookmarkStart w:id="27" w:name="_Toc175666951"/>
      <w:r>
        <w:t>Stratégie 4 : Appliquer des critères nationaux pondérés dans les évaluations d’approvisionnement.</w:t>
      </w:r>
      <w:bookmarkEnd w:id="27"/>
    </w:p>
    <w:p w14:paraId="6E9FD855" w14:textId="5C217CE8" w:rsidR="00946122" w:rsidRDefault="0042010C" w:rsidP="00BC679E">
      <w:pPr>
        <w:spacing w:after="240" w:line="271" w:lineRule="auto"/>
        <w:rPr>
          <w:rFonts w:eastAsiaTheme="majorEastAsia" w:cstheme="majorBidi"/>
          <w:b/>
          <w:bCs/>
          <w:color w:val="006E81" w:themeColor="text2"/>
          <w:szCs w:val="24"/>
        </w:rPr>
      </w:pPr>
      <w:r>
        <w:rPr>
          <w:b/>
          <w:bCs/>
          <w:color w:val="006E81" w:themeColor="text2"/>
          <w:szCs w:val="24"/>
        </w:rPr>
        <w:t>Description de la stratégie</w:t>
      </w:r>
    </w:p>
    <w:p w14:paraId="09DD8F37" w14:textId="77777777" w:rsidR="00E14910" w:rsidRDefault="00E14910" w:rsidP="00413F5E">
      <w:pPr>
        <w:pStyle w:val="ListParagraph"/>
        <w:numPr>
          <w:ilvl w:val="0"/>
          <w:numId w:val="34"/>
        </w:numPr>
        <w:spacing w:before="120" w:after="240"/>
        <w:ind w:left="360"/>
        <w:contextualSpacing w:val="0"/>
        <w:rPr>
          <w:rFonts w:eastAsia="Times New Roman" w:cs="Times New Roman"/>
        </w:rPr>
      </w:pPr>
      <w:r>
        <w:t>Cette approche exige des acheteurs du secteur public qu’ils prennent en considération les avantages du développement social et économique tout en tenant compte des obligations commerciales pertinentes et des risques commerciaux correspondants lors de l’approvisionnement en biens et en services.</w:t>
      </w:r>
    </w:p>
    <w:p w14:paraId="0F19E22E" w14:textId="37D321E8" w:rsidR="008D06F0" w:rsidRPr="00F633D4" w:rsidRDefault="235C0AED" w:rsidP="00413F5E">
      <w:pPr>
        <w:pStyle w:val="ListParagraph"/>
        <w:numPr>
          <w:ilvl w:val="0"/>
          <w:numId w:val="34"/>
        </w:numPr>
        <w:spacing w:before="120" w:after="240"/>
        <w:ind w:left="360"/>
        <w:contextualSpacing w:val="0"/>
        <w:rPr>
          <w:rFonts w:eastAsia="Times New Roman" w:cs="Times New Roman"/>
          <w:szCs w:val="24"/>
        </w:rPr>
      </w:pPr>
      <w:r>
        <w:t xml:space="preserve">L’application de critères nationaux pondérés dans le processus d’évaluation a pour but de rendre le processus plus équitable pour les entreprises ontariennes, </w:t>
      </w:r>
      <w:r>
        <w:lastRenderedPageBreak/>
        <w:t xml:space="preserve">et c’est pourquoi ils ne devraient être inclus que si une entreprise ontarienne est présente sur ce marché.  Une attention particulière est accordée à des facteurs comme les responsabilités sociales et éthiques (p. ex., les normes en matière d’environnement, de travail, de sécurité et d’équité), qui pourraient ne pas être mises en œuvre dans d’autres collectivités publiques (voir les exemples dans le tableau ci-dessous). </w:t>
      </w:r>
    </w:p>
    <w:p w14:paraId="241C6461" w14:textId="77777777" w:rsidR="00FB43D1" w:rsidRPr="00FB43D1" w:rsidRDefault="00FB43D1" w:rsidP="00FB43D1">
      <w:pPr>
        <w:spacing w:after="240" w:line="271" w:lineRule="auto"/>
        <w:rPr>
          <w:rFonts w:eastAsiaTheme="majorEastAsia" w:cstheme="majorBidi"/>
          <w:b/>
          <w:bCs/>
          <w:color w:val="006E81" w:themeColor="text2"/>
          <w:szCs w:val="24"/>
        </w:rPr>
      </w:pPr>
      <w:r>
        <w:rPr>
          <w:b/>
          <w:bCs/>
          <w:color w:val="006E81" w:themeColor="text2"/>
          <w:szCs w:val="24"/>
        </w:rPr>
        <w:t>Quand l’utiliser</w:t>
      </w:r>
    </w:p>
    <w:p w14:paraId="5DFD71C4" w14:textId="0E475FC8" w:rsidR="00FB43D1" w:rsidRPr="00FB43D1" w:rsidRDefault="00FB43D1" w:rsidP="00413F5E">
      <w:pPr>
        <w:pStyle w:val="ListParagraph"/>
        <w:numPr>
          <w:ilvl w:val="0"/>
          <w:numId w:val="34"/>
        </w:numPr>
        <w:spacing w:before="120" w:after="240"/>
        <w:ind w:left="360"/>
        <w:contextualSpacing w:val="0"/>
        <w:rPr>
          <w:rFonts w:eastAsia="Times New Roman" w:cs="Times New Roman"/>
          <w:szCs w:val="24"/>
        </w:rPr>
      </w:pPr>
      <w:r>
        <w:t xml:space="preserve">Les acheteurs du secteur public doivent réaliser une étude de marché pour déterminer s’il existe une entreprise ontarienne. Par exemple, procéder à une Demande d’information pour déterminer quels sont les fournisseurs présents sur le marché concerné. Se reporter aux outils de planification de l’approvisionnement disponibles sous la rubrique des outils et des modèles sur </w:t>
      </w:r>
      <w:hyperlink r:id="rId14" w:history="1">
        <w:r>
          <w:rPr>
            <w:rStyle w:val="Hyperlink"/>
          </w:rPr>
          <w:t>l’intranet de la FPO</w:t>
        </w:r>
      </w:hyperlink>
      <w:r>
        <w:t xml:space="preserve">. </w:t>
      </w:r>
    </w:p>
    <w:p w14:paraId="31A1E1AA" w14:textId="541D89AF" w:rsidR="00E13AA6" w:rsidRPr="000135A7" w:rsidRDefault="00646FC8" w:rsidP="00413F5E">
      <w:pPr>
        <w:pStyle w:val="ListParagraph"/>
        <w:numPr>
          <w:ilvl w:val="0"/>
          <w:numId w:val="34"/>
        </w:numPr>
        <w:spacing w:before="120" w:after="240"/>
        <w:ind w:left="360"/>
        <w:contextualSpacing w:val="0"/>
        <w:rPr>
          <w:szCs w:val="24"/>
          <w:shd w:val="clear" w:color="auto" w:fill="FFFFFF"/>
        </w:rPr>
      </w:pPr>
      <w:r>
        <w:rPr>
          <w:szCs w:val="24"/>
          <w:shd w:val="clear" w:color="auto" w:fill="FFFFFF"/>
        </w:rPr>
        <w:t>L’évaluation des critères nationaux pondérés s’inscrit dans un processus d’évaluation classique et peut être incluse</w:t>
      </w:r>
      <w:r>
        <w:t xml:space="preserve"> dans </w:t>
      </w:r>
      <w:r>
        <w:rPr>
          <w:szCs w:val="24"/>
          <w:shd w:val="clear" w:color="auto" w:fill="FFFFFF"/>
        </w:rPr>
        <w:t>l’évaluation des critères de notation. Il existe des variations dans le processus d’évaluation; voici un exemple d’un processus d’évaluation type en trois étapes :</w:t>
      </w:r>
    </w:p>
    <w:p w14:paraId="1E55C08C" w14:textId="07D93036" w:rsidR="0007096C" w:rsidRPr="00995818" w:rsidRDefault="0007096C" w:rsidP="00413F5E">
      <w:pPr>
        <w:pStyle w:val="ListParagraph"/>
        <w:numPr>
          <w:ilvl w:val="0"/>
          <w:numId w:val="53"/>
        </w:numPr>
        <w:spacing w:after="240" w:line="240" w:lineRule="auto"/>
        <w:ind w:left="360"/>
        <w:contextualSpacing w:val="0"/>
        <w:rPr>
          <w:szCs w:val="24"/>
        </w:rPr>
      </w:pPr>
      <w:r>
        <w:t>Évaluation des exigences obligatoires selon un mode réussite/échec.</w:t>
      </w:r>
    </w:p>
    <w:p w14:paraId="5AC87E12" w14:textId="1A759BA3" w:rsidR="0007096C" w:rsidRPr="00995818" w:rsidRDefault="0007096C" w:rsidP="00413F5E">
      <w:pPr>
        <w:pStyle w:val="ListParagraph"/>
        <w:numPr>
          <w:ilvl w:val="0"/>
          <w:numId w:val="53"/>
        </w:numPr>
        <w:spacing w:after="240" w:line="240" w:lineRule="auto"/>
        <w:ind w:left="360" w:hanging="357"/>
        <w:contextualSpacing w:val="0"/>
        <w:rPr>
          <w:szCs w:val="24"/>
        </w:rPr>
      </w:pPr>
      <w:r>
        <w:t xml:space="preserve">Évaluation des critères </w:t>
      </w:r>
      <w:proofErr w:type="spellStart"/>
      <w:r>
        <w:t>cotés</w:t>
      </w:r>
      <w:proofErr w:type="spellEnd"/>
      <w:r>
        <w:t>, y compris les critères nationaux pondérés.</w:t>
      </w:r>
    </w:p>
    <w:p w14:paraId="40C66CD9" w14:textId="2796A107" w:rsidR="0006266A" w:rsidRPr="00995818" w:rsidRDefault="0007096C" w:rsidP="00413F5E">
      <w:pPr>
        <w:pStyle w:val="ListParagraph"/>
        <w:numPr>
          <w:ilvl w:val="0"/>
          <w:numId w:val="53"/>
        </w:numPr>
        <w:spacing w:after="240" w:line="240" w:lineRule="auto"/>
        <w:ind w:left="360" w:hanging="357"/>
        <w:contextualSpacing w:val="0"/>
        <w:rPr>
          <w:szCs w:val="24"/>
        </w:rPr>
      </w:pPr>
      <w:r>
        <w:t>Évaluation du prix.</w:t>
      </w:r>
    </w:p>
    <w:p w14:paraId="58AC62EE" w14:textId="1CD4618C" w:rsidR="00CB17C7" w:rsidRPr="004021CF" w:rsidRDefault="00CB17C7" w:rsidP="005F0DFF">
      <w:pPr>
        <w:spacing w:after="240" w:line="240" w:lineRule="auto"/>
        <w:rPr>
          <w:rFonts w:eastAsiaTheme="majorEastAsia" w:cstheme="majorBidi"/>
          <w:b/>
          <w:bCs/>
          <w:color w:val="006E81" w:themeColor="text2"/>
          <w:szCs w:val="24"/>
        </w:rPr>
      </w:pPr>
      <w:r>
        <w:rPr>
          <w:b/>
          <w:bCs/>
          <w:color w:val="006E81" w:themeColor="text2"/>
          <w:szCs w:val="24"/>
        </w:rPr>
        <w:t>Exemples de critères nationaux pondérés :</w:t>
      </w:r>
    </w:p>
    <w:p w14:paraId="599B4A60" w14:textId="6B836B97" w:rsidR="00206A59" w:rsidRDefault="00206A59" w:rsidP="00995818">
      <w:pPr>
        <w:spacing w:before="120" w:after="240"/>
        <w:rPr>
          <w:rFonts w:eastAsia="Times New Roman" w:cs="Times New Roman"/>
        </w:rPr>
      </w:pPr>
      <w:r>
        <w:t>Le tableau ci-dessous contient une liste d’exemples de divers types de critères nationaux pondérés et la description correspondante. Il ne s’agit pas d’une liste exhaustive et que l’acheteur peut définir d’autres critères qui conviennent à son approvisionnement.</w:t>
      </w:r>
    </w:p>
    <w:p w14:paraId="13F753F9" w14:textId="77777777" w:rsidR="00C32B93" w:rsidRDefault="008350F3" w:rsidP="00995818">
      <w:pPr>
        <w:spacing w:before="120" w:after="240"/>
        <w:rPr>
          <w:rFonts w:eastAsia="Times New Roman" w:cs="Times New Roman"/>
        </w:rPr>
      </w:pPr>
      <w:r>
        <w:t xml:space="preserve">Il est à noter que ce sont des catégories de critères nationaux pondérés qui ont pour but de servir de guide et ne sont pas destinés à être copiés mot pour mot. Chaque </w:t>
      </w:r>
      <w:r>
        <w:lastRenderedPageBreak/>
        <w:t xml:space="preserve">approvisionnement étant unique, le critère national pondéré doit être pertinent et les acheteurs doivent élaborer les questions d’évaluation correspondantes. </w:t>
      </w:r>
    </w:p>
    <w:p w14:paraId="2948DF13" w14:textId="49ADBF0D" w:rsidR="008C55D3" w:rsidRPr="00E12F84" w:rsidRDefault="00BA6F0A" w:rsidP="00995818">
      <w:pPr>
        <w:spacing w:before="120" w:after="240"/>
        <w:rPr>
          <w:rFonts w:eastAsia="Times New Roman" w:cs="Times New Roman"/>
        </w:rPr>
      </w:pPr>
      <w:r>
        <w:t xml:space="preserve">Les critères nationaux pondérés sélectionnés doivent être clairement pertinents pour le secteur ou l’article faisant l’objet de l’appel d’offres, et la justification de leur incidence sur l’approvisionnement doit être facilement explicable.  </w:t>
      </w:r>
    </w:p>
    <w:tbl>
      <w:tblPr>
        <w:tblStyle w:val="GridTable4-Accent1"/>
        <w:tblW w:w="5000" w:type="pct"/>
        <w:tblLook w:val="0420" w:firstRow="1" w:lastRow="0" w:firstColumn="0" w:lastColumn="0" w:noHBand="0" w:noVBand="1"/>
        <w:tblCaption w:val="Table 2: Examples of Weighted Domestic Criteria"/>
        <w:tblDescription w:val="Examples of Weighted Domestic Criteria are as follows:"/>
      </w:tblPr>
      <w:tblGrid>
        <w:gridCol w:w="2559"/>
        <w:gridCol w:w="6791"/>
      </w:tblGrid>
      <w:tr w:rsidR="001C397B" w:rsidRPr="000202DB" w14:paraId="14DB463A" w14:textId="77777777" w:rsidTr="000D438C">
        <w:trPr>
          <w:cnfStyle w:val="100000000000" w:firstRow="1" w:lastRow="0" w:firstColumn="0" w:lastColumn="0" w:oddVBand="0" w:evenVBand="0" w:oddHBand="0" w:evenHBand="0" w:firstRowFirstColumn="0" w:firstRowLastColumn="0" w:lastRowFirstColumn="0" w:lastRowLastColumn="0"/>
          <w:trHeight w:val="684"/>
        </w:trPr>
        <w:tc>
          <w:tcPr>
            <w:tcW w:w="1210" w:type="pct"/>
            <w:hideMark/>
          </w:tcPr>
          <w:p w14:paraId="6CDCF61A" w14:textId="12D47C7C" w:rsidR="00684A90" w:rsidRPr="000202DB" w:rsidRDefault="001F6B5E" w:rsidP="00264B5C">
            <w:pPr>
              <w:spacing w:before="0"/>
              <w:contextualSpacing/>
              <w:rPr>
                <w:b w:val="0"/>
                <w:bCs w:val="0"/>
                <w:szCs w:val="24"/>
              </w:rPr>
            </w:pPr>
            <w:r>
              <w:t>Critères nationaux</w:t>
            </w:r>
          </w:p>
        </w:tc>
        <w:tc>
          <w:tcPr>
            <w:tcW w:w="3790" w:type="pct"/>
            <w:hideMark/>
          </w:tcPr>
          <w:p w14:paraId="73DA32C9" w14:textId="338CE239" w:rsidR="00684A90" w:rsidRPr="000202DB" w:rsidRDefault="00684A90" w:rsidP="00264B5C">
            <w:pPr>
              <w:spacing w:before="0"/>
              <w:contextualSpacing/>
              <w:rPr>
                <w:b w:val="0"/>
                <w:bCs w:val="0"/>
                <w:szCs w:val="24"/>
              </w:rPr>
            </w:pPr>
            <w:r>
              <w:t>Description</w:t>
            </w:r>
          </w:p>
        </w:tc>
      </w:tr>
      <w:tr w:rsidR="001C397B" w:rsidRPr="000202DB" w14:paraId="7FFF137D" w14:textId="77777777" w:rsidTr="000D438C">
        <w:trPr>
          <w:cnfStyle w:val="000000100000" w:firstRow="0" w:lastRow="0" w:firstColumn="0" w:lastColumn="0" w:oddVBand="0" w:evenVBand="0" w:oddHBand="1" w:evenHBand="0" w:firstRowFirstColumn="0" w:firstRowLastColumn="0" w:lastRowFirstColumn="0" w:lastRowLastColumn="0"/>
          <w:trHeight w:val="745"/>
        </w:trPr>
        <w:tc>
          <w:tcPr>
            <w:tcW w:w="1210" w:type="pct"/>
            <w:hideMark/>
          </w:tcPr>
          <w:p w14:paraId="3B21E6A1" w14:textId="77777777" w:rsidR="00684A90" w:rsidRPr="000202DB" w:rsidRDefault="00684A90" w:rsidP="00264B5C">
            <w:pPr>
              <w:spacing w:before="0"/>
              <w:contextualSpacing/>
              <w:rPr>
                <w:szCs w:val="24"/>
              </w:rPr>
            </w:pPr>
            <w:r>
              <w:t xml:space="preserve">Sécurité de la chaîne d’approvisionnement </w:t>
            </w:r>
          </w:p>
        </w:tc>
        <w:tc>
          <w:tcPr>
            <w:tcW w:w="3790" w:type="pct"/>
            <w:hideMark/>
          </w:tcPr>
          <w:p w14:paraId="1E9973E0" w14:textId="77777777" w:rsidR="00684A90" w:rsidRPr="000202DB" w:rsidRDefault="00684A90" w:rsidP="00264B5C">
            <w:pPr>
              <w:spacing w:before="0"/>
              <w:contextualSpacing/>
              <w:rPr>
                <w:szCs w:val="24"/>
              </w:rPr>
            </w:pPr>
            <w:r>
              <w:t>Sécurité de la chaîne d’approvisionnement, lorsqu’un retard dans la fourniture de biens ou de services aurait une incidence négative sur le gouvernement ou les Ontariens.</w:t>
            </w:r>
          </w:p>
        </w:tc>
      </w:tr>
      <w:tr w:rsidR="001C397B" w:rsidRPr="000202DB" w14:paraId="6480BB9D" w14:textId="77777777" w:rsidTr="000D438C">
        <w:trPr>
          <w:trHeight w:val="558"/>
        </w:trPr>
        <w:tc>
          <w:tcPr>
            <w:tcW w:w="1210" w:type="pct"/>
            <w:hideMark/>
          </w:tcPr>
          <w:p w14:paraId="779BAEAC" w14:textId="77777777" w:rsidR="00684A90" w:rsidRPr="000202DB" w:rsidRDefault="00684A90" w:rsidP="00264B5C">
            <w:pPr>
              <w:spacing w:before="0"/>
              <w:contextualSpacing/>
              <w:rPr>
                <w:szCs w:val="24"/>
              </w:rPr>
            </w:pPr>
            <w:r>
              <w:t>Réactivité de l’entreprise</w:t>
            </w:r>
          </w:p>
        </w:tc>
        <w:tc>
          <w:tcPr>
            <w:tcW w:w="3790" w:type="pct"/>
            <w:hideMark/>
          </w:tcPr>
          <w:p w14:paraId="2A88FDE3" w14:textId="77777777" w:rsidR="00684A90" w:rsidRPr="000202DB" w:rsidRDefault="00684A90" w:rsidP="00264B5C">
            <w:pPr>
              <w:spacing w:before="0"/>
              <w:contextualSpacing/>
              <w:rPr>
                <w:szCs w:val="24"/>
              </w:rPr>
            </w:pPr>
            <w:r>
              <w:t>Temps de réponse proposé, délai d’exécution ou résolution en personne sur place.</w:t>
            </w:r>
          </w:p>
        </w:tc>
      </w:tr>
      <w:tr w:rsidR="001C397B" w:rsidRPr="000202DB" w14:paraId="463F5B99" w14:textId="77777777" w:rsidTr="000D438C">
        <w:trPr>
          <w:cnfStyle w:val="000000100000" w:firstRow="0" w:lastRow="0" w:firstColumn="0" w:lastColumn="0" w:oddVBand="0" w:evenVBand="0" w:oddHBand="1" w:evenHBand="0" w:firstRowFirstColumn="0" w:firstRowLastColumn="0" w:lastRowFirstColumn="0" w:lastRowLastColumn="0"/>
          <w:trHeight w:val="718"/>
        </w:trPr>
        <w:tc>
          <w:tcPr>
            <w:tcW w:w="1210" w:type="pct"/>
            <w:hideMark/>
          </w:tcPr>
          <w:p w14:paraId="3D7438CD" w14:textId="22F6E06D" w:rsidR="00684A90" w:rsidRPr="00927FD8" w:rsidRDefault="00684A90" w:rsidP="00264B5C">
            <w:pPr>
              <w:spacing w:before="0"/>
              <w:contextualSpacing/>
              <w:rPr>
                <w:szCs w:val="24"/>
              </w:rPr>
            </w:pPr>
            <w:r>
              <w:t>Coûts et émissions nets</w:t>
            </w:r>
          </w:p>
        </w:tc>
        <w:tc>
          <w:tcPr>
            <w:tcW w:w="3790" w:type="pct"/>
            <w:hideMark/>
          </w:tcPr>
          <w:p w14:paraId="2EB3E405" w14:textId="47425861" w:rsidR="00684A90" w:rsidRPr="000202DB" w:rsidRDefault="00684A90" w:rsidP="00264B5C">
            <w:pPr>
              <w:spacing w:before="0"/>
              <w:contextualSpacing/>
              <w:rPr>
                <w:szCs w:val="24"/>
              </w:rPr>
            </w:pPr>
            <w:r>
              <w:t>L’impact environnemental associé au transport ou à la fourniture de biens ou de services, par exemple les émissions de CO</w:t>
            </w:r>
            <w:r>
              <w:rPr>
                <w:szCs w:val="24"/>
                <w:vertAlign w:val="subscript"/>
              </w:rPr>
              <w:t>2</w:t>
            </w:r>
            <w:r>
              <w:t>.</w:t>
            </w:r>
            <w:r>
              <w:rPr>
                <w:szCs w:val="24"/>
                <w:vertAlign w:val="subscript"/>
              </w:rPr>
              <w:t xml:space="preserve"> </w:t>
            </w:r>
          </w:p>
        </w:tc>
      </w:tr>
      <w:tr w:rsidR="001C397B" w:rsidRPr="000202DB" w14:paraId="69B61F03" w14:textId="77777777" w:rsidTr="000D438C">
        <w:trPr>
          <w:trHeight w:val="729"/>
        </w:trPr>
        <w:tc>
          <w:tcPr>
            <w:tcW w:w="1210" w:type="pct"/>
            <w:hideMark/>
          </w:tcPr>
          <w:p w14:paraId="07A9D6E0" w14:textId="77777777" w:rsidR="00684A90" w:rsidRPr="000202DB" w:rsidRDefault="00684A90" w:rsidP="00264B5C">
            <w:pPr>
              <w:spacing w:before="0"/>
              <w:contextualSpacing/>
              <w:rPr>
                <w:szCs w:val="24"/>
              </w:rPr>
            </w:pPr>
            <w:r>
              <w:t>Environnement et durabilité</w:t>
            </w:r>
          </w:p>
        </w:tc>
        <w:tc>
          <w:tcPr>
            <w:tcW w:w="3790" w:type="pct"/>
            <w:hideMark/>
          </w:tcPr>
          <w:p w14:paraId="19A4FE22" w14:textId="04B4DF2E" w:rsidR="00684A90" w:rsidRPr="000202DB" w:rsidRDefault="00684A90" w:rsidP="00264B5C">
            <w:pPr>
              <w:spacing w:before="0"/>
              <w:contextualSpacing/>
              <w:rPr>
                <w:szCs w:val="24"/>
              </w:rPr>
            </w:pPr>
            <w:r>
              <w:t>Capacité à démontrer qu’ils respectent ou dépassent les lois environnementales de l’Ontario lorsque des biens ou des services sont produits.</w:t>
            </w:r>
          </w:p>
        </w:tc>
      </w:tr>
      <w:tr w:rsidR="000B159B" w:rsidRPr="000202DB" w14:paraId="4BFB7D6C" w14:textId="77777777" w:rsidTr="000D438C">
        <w:trPr>
          <w:cnfStyle w:val="000000100000" w:firstRow="0" w:lastRow="0" w:firstColumn="0" w:lastColumn="0" w:oddVBand="0" w:evenVBand="0" w:oddHBand="1" w:evenHBand="0" w:firstRowFirstColumn="0" w:firstRowLastColumn="0" w:lastRowFirstColumn="0" w:lastRowLastColumn="0"/>
          <w:trHeight w:val="718"/>
        </w:trPr>
        <w:tc>
          <w:tcPr>
            <w:tcW w:w="1210" w:type="pct"/>
          </w:tcPr>
          <w:p w14:paraId="4CB4E5D7" w14:textId="4B54EB86" w:rsidR="000B159B" w:rsidRPr="000202DB" w:rsidRDefault="000B159B" w:rsidP="000B159B">
            <w:pPr>
              <w:spacing w:before="0"/>
              <w:contextualSpacing/>
              <w:rPr>
                <w:szCs w:val="24"/>
              </w:rPr>
            </w:pPr>
            <w:r>
              <w:t>Propriété intellectuelle</w:t>
            </w:r>
          </w:p>
        </w:tc>
        <w:tc>
          <w:tcPr>
            <w:tcW w:w="3790" w:type="pct"/>
          </w:tcPr>
          <w:p w14:paraId="52E23AED" w14:textId="13DC5A09" w:rsidR="000B159B" w:rsidRPr="000202DB" w:rsidRDefault="000B159B" w:rsidP="000B159B">
            <w:pPr>
              <w:spacing w:before="0"/>
              <w:contextualSpacing/>
              <w:rPr>
                <w:szCs w:val="24"/>
              </w:rPr>
            </w:pPr>
            <w:r>
              <w:t>Création, utilisation ou commercialisation de propriété intellectuelle en Ontario, ou innovation et adoption de technologie.</w:t>
            </w:r>
          </w:p>
        </w:tc>
      </w:tr>
      <w:tr w:rsidR="001C397B" w:rsidRPr="000202DB" w14:paraId="0ADC586E" w14:textId="77777777" w:rsidTr="000D438C">
        <w:trPr>
          <w:trHeight w:val="718"/>
        </w:trPr>
        <w:tc>
          <w:tcPr>
            <w:tcW w:w="1210" w:type="pct"/>
            <w:hideMark/>
          </w:tcPr>
          <w:p w14:paraId="0AD0ACEE" w14:textId="77777777" w:rsidR="00684A90" w:rsidRPr="000202DB" w:rsidRDefault="00684A90" w:rsidP="00264B5C">
            <w:pPr>
              <w:spacing w:before="0"/>
              <w:contextualSpacing/>
              <w:rPr>
                <w:szCs w:val="24"/>
              </w:rPr>
            </w:pPr>
            <w:r>
              <w:t>Main-d’œuvre</w:t>
            </w:r>
          </w:p>
        </w:tc>
        <w:tc>
          <w:tcPr>
            <w:tcW w:w="3790" w:type="pct"/>
            <w:hideMark/>
          </w:tcPr>
          <w:p w14:paraId="0286DD16" w14:textId="7EF72A7C" w:rsidR="00684A90" w:rsidRPr="000202DB" w:rsidRDefault="00684A90" w:rsidP="00264B5C">
            <w:pPr>
              <w:spacing w:before="0"/>
              <w:contextualSpacing/>
              <w:rPr>
                <w:szCs w:val="24"/>
              </w:rPr>
            </w:pPr>
            <w:r>
              <w:t>Capacité à démontrer qu’ils respectent ou dépassent les lois du travail de l’Ontario lorsque des biens ou des services sont produits.</w:t>
            </w:r>
          </w:p>
        </w:tc>
      </w:tr>
      <w:tr w:rsidR="001C397B" w:rsidRPr="000202DB" w14:paraId="41F13D6B" w14:textId="77777777" w:rsidTr="000D438C">
        <w:trPr>
          <w:cnfStyle w:val="000000100000" w:firstRow="0" w:lastRow="0" w:firstColumn="0" w:lastColumn="0" w:oddVBand="0" w:evenVBand="0" w:oddHBand="1" w:evenHBand="0" w:firstRowFirstColumn="0" w:firstRowLastColumn="0" w:lastRowFirstColumn="0" w:lastRowLastColumn="0"/>
          <w:trHeight w:val="1093"/>
        </w:trPr>
        <w:tc>
          <w:tcPr>
            <w:tcW w:w="1210" w:type="pct"/>
            <w:hideMark/>
          </w:tcPr>
          <w:p w14:paraId="423939B9" w14:textId="29874179" w:rsidR="00684A90" w:rsidRPr="000202DB" w:rsidRDefault="00684A90" w:rsidP="00264B5C">
            <w:pPr>
              <w:spacing w:before="0"/>
              <w:contextualSpacing/>
              <w:rPr>
                <w:szCs w:val="24"/>
              </w:rPr>
            </w:pPr>
            <w:r>
              <w:t>Avantage local*</w:t>
            </w:r>
          </w:p>
        </w:tc>
        <w:tc>
          <w:tcPr>
            <w:tcW w:w="3790" w:type="pct"/>
            <w:hideMark/>
          </w:tcPr>
          <w:p w14:paraId="28683CCD" w14:textId="77777777" w:rsidR="00684A90" w:rsidRPr="000202DB" w:rsidRDefault="69FE1A0E" w:rsidP="00264B5C">
            <w:pPr>
              <w:spacing w:before="0"/>
              <w:contextualSpacing/>
              <w:rPr>
                <w:szCs w:val="24"/>
              </w:rPr>
            </w:pPr>
            <w:r>
              <w:t xml:space="preserve">Investissement en capital; utilisation de la chaîne d’approvisionnement locale (y compris les fournisseurs qui sont des </w:t>
            </w:r>
            <w:bookmarkStart w:id="28" w:name="_Int_uvmDiFTr"/>
            <w:r>
              <w:t>PME</w:t>
            </w:r>
            <w:bookmarkEnd w:id="28"/>
            <w:r>
              <w:t xml:space="preserve">); programmes de développement des compétences et de formation; innovation par la recherche et le développement; potentiel d’exportation basé en Ontario; potentiel de bénéficier aux entreprises de petites villes ou de régions rurales </w:t>
            </w:r>
          </w:p>
        </w:tc>
      </w:tr>
      <w:tr w:rsidR="00971DA8" w:rsidRPr="000202DB" w14:paraId="342DEA47" w14:textId="77777777" w:rsidTr="000D438C">
        <w:trPr>
          <w:trHeight w:val="745"/>
        </w:trPr>
        <w:tc>
          <w:tcPr>
            <w:tcW w:w="1210" w:type="pct"/>
          </w:tcPr>
          <w:p w14:paraId="1F5CA1A7" w14:textId="44E77A13" w:rsidR="00971DA8" w:rsidRPr="000202DB" w:rsidRDefault="00971DA8" w:rsidP="00971DA8">
            <w:pPr>
              <w:spacing w:before="0"/>
              <w:contextualSpacing/>
              <w:rPr>
                <w:szCs w:val="24"/>
              </w:rPr>
            </w:pPr>
            <w:r>
              <w:lastRenderedPageBreak/>
              <w:t>Connaissances locales*</w:t>
            </w:r>
          </w:p>
        </w:tc>
        <w:tc>
          <w:tcPr>
            <w:tcW w:w="3790" w:type="pct"/>
          </w:tcPr>
          <w:p w14:paraId="3FB23F29" w14:textId="196584C4" w:rsidR="00971DA8" w:rsidRPr="000202DB" w:rsidRDefault="00971DA8" w:rsidP="00971DA8">
            <w:pPr>
              <w:spacing w:before="0"/>
              <w:contextualSpacing/>
              <w:rPr>
                <w:szCs w:val="24"/>
              </w:rPr>
            </w:pPr>
            <w:r>
              <w:t xml:space="preserve">Connaissances et expérience en Ontario qui touchent directement des intervenants; création de connaissances et de savoir-faire en Ontario. </w:t>
            </w:r>
          </w:p>
        </w:tc>
      </w:tr>
      <w:tr w:rsidR="00971DA8" w:rsidRPr="000202DB" w14:paraId="64EBF644" w14:textId="77777777" w:rsidTr="000D438C">
        <w:trPr>
          <w:cnfStyle w:val="000000100000" w:firstRow="0" w:lastRow="0" w:firstColumn="0" w:lastColumn="0" w:oddVBand="0" w:evenVBand="0" w:oddHBand="1" w:evenHBand="0" w:firstRowFirstColumn="0" w:firstRowLastColumn="0" w:lastRowFirstColumn="0" w:lastRowLastColumn="0"/>
          <w:trHeight w:val="745"/>
        </w:trPr>
        <w:tc>
          <w:tcPr>
            <w:tcW w:w="1210" w:type="pct"/>
          </w:tcPr>
          <w:p w14:paraId="76DFDF88" w14:textId="7F4310CD" w:rsidR="00971DA8" w:rsidRPr="000202DB" w:rsidRDefault="00971DA8" w:rsidP="00971DA8">
            <w:pPr>
              <w:spacing w:before="0"/>
              <w:contextualSpacing/>
              <w:rPr>
                <w:szCs w:val="24"/>
              </w:rPr>
            </w:pPr>
            <w:r>
              <w:t>Usage de ressources ou matériaux locaux*</w:t>
            </w:r>
          </w:p>
        </w:tc>
        <w:tc>
          <w:tcPr>
            <w:tcW w:w="3790" w:type="pct"/>
          </w:tcPr>
          <w:p w14:paraId="058F48E4" w14:textId="1AB68B2F" w:rsidR="00971DA8" w:rsidRPr="000202DB" w:rsidRDefault="00971DA8" w:rsidP="00971DA8">
            <w:pPr>
              <w:spacing w:before="0"/>
              <w:contextualSpacing/>
              <w:rPr>
                <w:szCs w:val="24"/>
              </w:rPr>
            </w:pPr>
            <w:r>
              <w:t>Utilisation de matières locales pour les biens ou les contenus; création potentielle d’emplois; développement des petites entreprises; revitalisation de la communauté.</w:t>
            </w:r>
          </w:p>
        </w:tc>
      </w:tr>
    </w:tbl>
    <w:p w14:paraId="55FE2486" w14:textId="37D821A4" w:rsidR="00F018B3" w:rsidRDefault="00F018B3" w:rsidP="00264B5C">
      <w:pPr>
        <w:spacing w:after="240"/>
        <w:rPr>
          <w:szCs w:val="24"/>
        </w:rPr>
      </w:pPr>
      <w:r>
        <w:rPr>
          <w:sz w:val="28"/>
          <w:szCs w:val="28"/>
        </w:rPr>
        <w:t>*</w:t>
      </w:r>
      <w:r>
        <w:t xml:space="preserve"> Lors de l’application des règles de pondération nationale suivantes, la pondération maximale ne doit pas dépasser 5 %. </w:t>
      </w:r>
    </w:p>
    <w:p w14:paraId="696F15AC" w14:textId="1AB0D5B6" w:rsidR="00684A90" w:rsidRPr="000202DB" w:rsidRDefault="2591A1AE" w:rsidP="00264B5C">
      <w:pPr>
        <w:spacing w:after="240"/>
        <w:rPr>
          <w:szCs w:val="24"/>
        </w:rPr>
      </w:pPr>
      <w:r>
        <w:t>Voir l’</w:t>
      </w:r>
      <w:hyperlink w:anchor="_Appendix_A:_Weighted" w:history="1">
        <w:r>
          <w:rPr>
            <w:rStyle w:val="Hyperlink"/>
          </w:rPr>
          <w:t>annexe A</w:t>
        </w:r>
      </w:hyperlink>
      <w:r>
        <w:t xml:space="preserve"> et l’</w:t>
      </w:r>
      <w:hyperlink w:anchor="_Appendix_B:_Example" w:history="1">
        <w:r>
          <w:rPr>
            <w:rStyle w:val="Hyperlink"/>
          </w:rPr>
          <w:t>annexe B</w:t>
        </w:r>
      </w:hyperlink>
      <w:r>
        <w:t xml:space="preserve"> pour obtenir plus de détails sur les critères nationaux pondérés et des exemples sur la façon et le moment d’appliquer chaque critère national pondéré. </w:t>
      </w:r>
    </w:p>
    <w:p w14:paraId="3205B381" w14:textId="5EA06C65" w:rsidR="0006266A" w:rsidRPr="000202DB" w:rsidRDefault="006971C7" w:rsidP="00BC679E">
      <w:pPr>
        <w:spacing w:after="240" w:line="240" w:lineRule="auto"/>
        <w:rPr>
          <w:rFonts w:eastAsiaTheme="majorEastAsia" w:cstheme="majorBidi"/>
          <w:b/>
          <w:bCs/>
          <w:color w:val="006E81" w:themeColor="text2"/>
          <w:szCs w:val="24"/>
        </w:rPr>
      </w:pPr>
      <w:r>
        <w:rPr>
          <w:b/>
          <w:bCs/>
          <w:color w:val="006E81" w:themeColor="text2"/>
          <w:szCs w:val="24"/>
        </w:rPr>
        <w:t>Application au processus d’approvisionnement</w:t>
      </w:r>
    </w:p>
    <w:p w14:paraId="159FFE8D" w14:textId="7435F02D" w:rsidR="00040F40" w:rsidRDefault="00040F40" w:rsidP="002D13E4">
      <w:pPr>
        <w:pStyle w:val="ListParagraph"/>
        <w:numPr>
          <w:ilvl w:val="0"/>
          <w:numId w:val="62"/>
        </w:numPr>
        <w:spacing w:after="240" w:line="240" w:lineRule="auto"/>
        <w:rPr>
          <w:b/>
          <w:bCs/>
          <w:szCs w:val="24"/>
        </w:rPr>
      </w:pPr>
      <w:r w:rsidRPr="002D13E4">
        <w:rPr>
          <w:b/>
          <w:bCs/>
          <w:szCs w:val="24"/>
        </w:rPr>
        <w:t>Planification de l’approvisionnement</w:t>
      </w:r>
    </w:p>
    <w:p w14:paraId="1A007718" w14:textId="77777777" w:rsidR="002D13E4" w:rsidRPr="002D13E4" w:rsidRDefault="002D13E4" w:rsidP="002D13E4">
      <w:pPr>
        <w:pStyle w:val="ListParagraph"/>
        <w:spacing w:after="240" w:line="240" w:lineRule="auto"/>
        <w:ind w:left="1080"/>
        <w:rPr>
          <w:b/>
          <w:bCs/>
          <w:szCs w:val="24"/>
        </w:rPr>
      </w:pPr>
    </w:p>
    <w:p w14:paraId="41C525A1" w14:textId="0D036756" w:rsidR="00970683" w:rsidRPr="00126727" w:rsidRDefault="34E1FE80" w:rsidP="00413F5E">
      <w:pPr>
        <w:pStyle w:val="ListParagraph"/>
        <w:numPr>
          <w:ilvl w:val="0"/>
          <w:numId w:val="34"/>
        </w:numPr>
        <w:spacing w:before="120" w:after="240"/>
        <w:ind w:left="360"/>
        <w:contextualSpacing w:val="0"/>
        <w:rPr>
          <w:rFonts w:eastAsia="Times New Roman" w:cs="Times New Roman"/>
          <w:szCs w:val="24"/>
        </w:rPr>
      </w:pPr>
      <w:r>
        <w:t xml:space="preserve">Mener une étude de marché et déterminer s’il existe des entreprises ontariennes (telles que définies à la </w:t>
      </w:r>
      <w:hyperlink w:anchor="Definition" w:history="1">
        <w:r>
          <w:t>section 3</w:t>
        </w:r>
      </w:hyperlink>
      <w:r>
        <w:t xml:space="preserve">) qualifiées pour fournir les biens ou les services recherchés. </w:t>
      </w:r>
    </w:p>
    <w:p w14:paraId="35F52291" w14:textId="132CAEA5" w:rsidR="00040F40" w:rsidRPr="007F5D66" w:rsidRDefault="00BC4830" w:rsidP="00413F5E">
      <w:pPr>
        <w:pStyle w:val="ListParagraph"/>
        <w:numPr>
          <w:ilvl w:val="0"/>
          <w:numId w:val="34"/>
        </w:numPr>
        <w:spacing w:before="120" w:after="240"/>
        <w:ind w:left="360"/>
        <w:contextualSpacing w:val="0"/>
        <w:rPr>
          <w:rFonts w:eastAsia="Times New Roman" w:cs="Times New Roman"/>
          <w:szCs w:val="24"/>
        </w:rPr>
      </w:pPr>
      <w:r>
        <w:t xml:space="preserve">Rechercher et élaborer des critères nationaux pondérés qui soient appropriés et pertinents pour l’approvisionnement. </w:t>
      </w:r>
    </w:p>
    <w:p w14:paraId="7D74FD11" w14:textId="03A59846" w:rsidR="00C92FB8" w:rsidRPr="007F5D66" w:rsidRDefault="007E7114" w:rsidP="00413F5E">
      <w:pPr>
        <w:pStyle w:val="ListParagraph"/>
        <w:numPr>
          <w:ilvl w:val="0"/>
          <w:numId w:val="34"/>
        </w:numPr>
        <w:spacing w:before="120" w:after="240"/>
        <w:ind w:left="360"/>
        <w:contextualSpacing w:val="0"/>
        <w:rPr>
          <w:rFonts w:eastAsia="Times New Roman" w:cs="Times New Roman"/>
          <w:szCs w:val="24"/>
        </w:rPr>
      </w:pPr>
      <w:r>
        <w:t>Déterminer les critères nationaux pondérés pertinents pour l’approvisionnement en fonction des éléments suivants :</w:t>
      </w:r>
    </w:p>
    <w:p w14:paraId="79B48EB7" w14:textId="77777777" w:rsidR="00C92FB8" w:rsidRPr="007F5D66" w:rsidRDefault="00C84193" w:rsidP="00413F5E">
      <w:pPr>
        <w:pStyle w:val="ListParagraph"/>
        <w:numPr>
          <w:ilvl w:val="0"/>
          <w:numId w:val="34"/>
        </w:numPr>
        <w:spacing w:before="120" w:after="240"/>
        <w:ind w:left="360"/>
        <w:contextualSpacing w:val="0"/>
        <w:rPr>
          <w:rFonts w:eastAsia="Times New Roman" w:cs="Times New Roman"/>
          <w:szCs w:val="24"/>
        </w:rPr>
      </w:pPr>
      <w:proofErr w:type="gramStart"/>
      <w:r>
        <w:t>analyse</w:t>
      </w:r>
      <w:proofErr w:type="gramEnd"/>
      <w:r>
        <w:t xml:space="preserve"> du marché; </w:t>
      </w:r>
    </w:p>
    <w:p w14:paraId="75251DD5" w14:textId="1ADE2E10" w:rsidR="00C92FB8" w:rsidRPr="007F5D66" w:rsidRDefault="00681983" w:rsidP="00413F5E">
      <w:pPr>
        <w:pStyle w:val="ListParagraph"/>
        <w:numPr>
          <w:ilvl w:val="0"/>
          <w:numId w:val="34"/>
        </w:numPr>
        <w:spacing w:before="120" w:after="240"/>
        <w:ind w:left="360"/>
        <w:contextualSpacing w:val="0"/>
        <w:rPr>
          <w:rFonts w:eastAsia="Times New Roman" w:cs="Times New Roman"/>
          <w:szCs w:val="24"/>
        </w:rPr>
      </w:pPr>
      <w:proofErr w:type="gramStart"/>
      <w:r>
        <w:t>risque</w:t>
      </w:r>
      <w:proofErr w:type="gramEnd"/>
      <w:r>
        <w:t>(s) déterminé(s);</w:t>
      </w:r>
    </w:p>
    <w:p w14:paraId="5C41F5D7" w14:textId="5BB8FCFF" w:rsidR="00506147" w:rsidRPr="007F5D66" w:rsidRDefault="56E43B75" w:rsidP="00413F5E">
      <w:pPr>
        <w:pStyle w:val="ListParagraph"/>
        <w:numPr>
          <w:ilvl w:val="0"/>
          <w:numId w:val="34"/>
        </w:numPr>
        <w:spacing w:before="120" w:after="240"/>
        <w:ind w:left="360"/>
        <w:contextualSpacing w:val="0"/>
        <w:rPr>
          <w:rFonts w:eastAsia="Times New Roman" w:cs="Times New Roman"/>
          <w:szCs w:val="24"/>
        </w:rPr>
      </w:pPr>
      <w:proofErr w:type="gramStart"/>
      <w:r>
        <w:t>importance</w:t>
      </w:r>
      <w:proofErr w:type="gramEnd"/>
      <w:r>
        <w:t xml:space="preserve"> relative de l’effet que le critère national aurait sur les exigences opérationnelles. </w:t>
      </w:r>
    </w:p>
    <w:p w14:paraId="46277DE0" w14:textId="30EA7068" w:rsidR="003A6C1F" w:rsidRPr="007F5D66" w:rsidRDefault="00AF3CDC" w:rsidP="00413F5E">
      <w:pPr>
        <w:pStyle w:val="ListParagraph"/>
        <w:numPr>
          <w:ilvl w:val="0"/>
          <w:numId w:val="34"/>
        </w:numPr>
        <w:spacing w:before="120" w:after="240"/>
        <w:ind w:left="360"/>
        <w:contextualSpacing w:val="0"/>
        <w:rPr>
          <w:rFonts w:eastAsia="Times New Roman" w:cs="Times New Roman"/>
          <w:szCs w:val="24"/>
        </w:rPr>
      </w:pPr>
      <w:r>
        <w:t>Consulter le conseiller juridique de l’acheteur de la FPO sur l’évaluation des risques et la stratégie d’atténuation.</w:t>
      </w:r>
    </w:p>
    <w:p w14:paraId="183BE91F" w14:textId="21F3536C" w:rsidR="00040F40" w:rsidRPr="00635C0A" w:rsidRDefault="00040F40" w:rsidP="00413F5E">
      <w:pPr>
        <w:pStyle w:val="ListParagraph"/>
        <w:numPr>
          <w:ilvl w:val="0"/>
          <w:numId w:val="34"/>
        </w:numPr>
        <w:spacing w:before="120" w:after="240"/>
        <w:ind w:left="360"/>
        <w:contextualSpacing w:val="0"/>
        <w:rPr>
          <w:rFonts w:eastAsia="Times New Roman" w:cs="Times New Roman"/>
          <w:szCs w:val="24"/>
        </w:rPr>
      </w:pPr>
      <w:r>
        <w:lastRenderedPageBreak/>
        <w:t>Solliciter les approbations appropriées.</w:t>
      </w:r>
    </w:p>
    <w:p w14:paraId="20A87E64" w14:textId="1974D79F" w:rsidR="00040F40" w:rsidRPr="000202DB" w:rsidRDefault="00040F40" w:rsidP="002D13E4">
      <w:pPr>
        <w:pStyle w:val="ListParagraph"/>
        <w:numPr>
          <w:ilvl w:val="0"/>
          <w:numId w:val="62"/>
        </w:numPr>
        <w:spacing w:after="240" w:line="240" w:lineRule="auto"/>
        <w:contextualSpacing w:val="0"/>
        <w:rPr>
          <w:b/>
          <w:bCs/>
          <w:szCs w:val="24"/>
        </w:rPr>
      </w:pPr>
      <w:r>
        <w:rPr>
          <w:b/>
          <w:bCs/>
          <w:szCs w:val="24"/>
        </w:rPr>
        <w:t>Approvisionnement</w:t>
      </w:r>
    </w:p>
    <w:p w14:paraId="7B057593" w14:textId="7B9284DB" w:rsidR="00040F40" w:rsidRPr="00126727" w:rsidRDefault="7F6F4009" w:rsidP="00413F5E">
      <w:pPr>
        <w:pStyle w:val="ListParagraph"/>
        <w:numPr>
          <w:ilvl w:val="0"/>
          <w:numId w:val="34"/>
        </w:numPr>
        <w:spacing w:before="120" w:after="240"/>
        <w:ind w:left="360"/>
        <w:contextualSpacing w:val="0"/>
        <w:rPr>
          <w:rFonts w:eastAsia="Times New Roman" w:cs="Times New Roman"/>
          <w:szCs w:val="24"/>
        </w:rPr>
      </w:pPr>
      <w:r>
        <w:t>Rédiger le document d’approvisionnement (p. ex., demande de soumissions), y compris les critères nationaux pondérés appropriés à la phase technique du processus d’évaluation.</w:t>
      </w:r>
    </w:p>
    <w:p w14:paraId="00018A19" w14:textId="4E80C849" w:rsidR="00611402" w:rsidRPr="00126727" w:rsidRDefault="0A035DCD" w:rsidP="00413F5E">
      <w:pPr>
        <w:pStyle w:val="ListParagraph"/>
        <w:numPr>
          <w:ilvl w:val="0"/>
          <w:numId w:val="34"/>
        </w:numPr>
        <w:spacing w:before="120" w:after="240"/>
        <w:ind w:left="360"/>
        <w:contextualSpacing w:val="0"/>
        <w:rPr>
          <w:rFonts w:eastAsia="Times New Roman" w:cs="Times New Roman"/>
          <w:szCs w:val="24"/>
        </w:rPr>
      </w:pPr>
      <w:r>
        <w:t xml:space="preserve">Il est recommandé que la pondération cumulée des critères nationaux pondérés soit comprise entre 25 % et 45 % de la note d’évaluation totale. </w:t>
      </w:r>
    </w:p>
    <w:p w14:paraId="1B7C91E6" w14:textId="71BAE79E" w:rsidR="00040F40" w:rsidRPr="00126727" w:rsidRDefault="00040F40" w:rsidP="00413F5E">
      <w:pPr>
        <w:pStyle w:val="ListParagraph"/>
        <w:numPr>
          <w:ilvl w:val="0"/>
          <w:numId w:val="34"/>
        </w:numPr>
        <w:spacing w:before="120" w:after="240"/>
        <w:ind w:left="360"/>
        <w:contextualSpacing w:val="0"/>
        <w:rPr>
          <w:rFonts w:eastAsia="Times New Roman" w:cs="Times New Roman"/>
          <w:szCs w:val="24"/>
        </w:rPr>
      </w:pPr>
      <w:r>
        <w:t>Publier l’appel d’offres sur le portail électronique d’appels d’offres de l’organisme.</w:t>
      </w:r>
    </w:p>
    <w:p w14:paraId="14F5E406" w14:textId="3A43369F" w:rsidR="00040F40" w:rsidRPr="000202DB" w:rsidRDefault="00040F40" w:rsidP="002D13E4">
      <w:pPr>
        <w:pStyle w:val="ListParagraph"/>
        <w:numPr>
          <w:ilvl w:val="0"/>
          <w:numId w:val="62"/>
        </w:numPr>
        <w:spacing w:after="240" w:line="240" w:lineRule="auto"/>
        <w:contextualSpacing w:val="0"/>
        <w:rPr>
          <w:b/>
          <w:bCs/>
          <w:szCs w:val="24"/>
        </w:rPr>
      </w:pPr>
      <w:r>
        <w:rPr>
          <w:b/>
          <w:bCs/>
          <w:szCs w:val="24"/>
        </w:rPr>
        <w:t>Évaluation des réponses</w:t>
      </w:r>
    </w:p>
    <w:p w14:paraId="0D5341AA" w14:textId="49269B90" w:rsidR="00040F40" w:rsidRPr="000202DB" w:rsidRDefault="00935528" w:rsidP="00413F5E">
      <w:pPr>
        <w:pStyle w:val="ListParagraph"/>
        <w:numPr>
          <w:ilvl w:val="0"/>
          <w:numId w:val="34"/>
        </w:numPr>
        <w:spacing w:before="120" w:after="240"/>
        <w:ind w:left="360"/>
        <w:contextualSpacing w:val="0"/>
        <w:rPr>
          <w:szCs w:val="24"/>
        </w:rPr>
      </w:pPr>
      <w:r>
        <w:t>Évaluer les réponses selon le document d’approvisionnement.</w:t>
      </w:r>
    </w:p>
    <w:p w14:paraId="4E0AD433" w14:textId="65D2E213" w:rsidR="00040F40" w:rsidRPr="000202DB" w:rsidRDefault="00040F40" w:rsidP="002D13E4">
      <w:pPr>
        <w:pStyle w:val="ListParagraph"/>
        <w:numPr>
          <w:ilvl w:val="0"/>
          <w:numId w:val="62"/>
        </w:numPr>
        <w:spacing w:after="240" w:line="240" w:lineRule="auto"/>
        <w:contextualSpacing w:val="0"/>
        <w:rPr>
          <w:b/>
          <w:bCs/>
          <w:szCs w:val="24"/>
        </w:rPr>
      </w:pPr>
      <w:r>
        <w:rPr>
          <w:b/>
          <w:bCs/>
          <w:szCs w:val="24"/>
        </w:rPr>
        <w:t>Rédaction des contrats</w:t>
      </w:r>
    </w:p>
    <w:p w14:paraId="79D748A3" w14:textId="276DD56E" w:rsidR="00887603" w:rsidRPr="00126727" w:rsidRDefault="00E145F2" w:rsidP="00413F5E">
      <w:pPr>
        <w:pStyle w:val="ListParagraph"/>
        <w:numPr>
          <w:ilvl w:val="0"/>
          <w:numId w:val="34"/>
        </w:numPr>
        <w:spacing w:before="120" w:after="240"/>
        <w:ind w:left="360"/>
        <w:contextualSpacing w:val="0"/>
        <w:rPr>
          <w:rFonts w:eastAsia="Times New Roman" w:cs="Times New Roman"/>
          <w:szCs w:val="24"/>
        </w:rPr>
      </w:pPr>
      <w:r>
        <w:t>Attribuer le contrat</w:t>
      </w:r>
    </w:p>
    <w:p w14:paraId="3D23CE3C" w14:textId="3BA195AF" w:rsidR="00E145F2" w:rsidRPr="00126727" w:rsidRDefault="00E908B2" w:rsidP="00413F5E">
      <w:pPr>
        <w:pStyle w:val="ListParagraph"/>
        <w:numPr>
          <w:ilvl w:val="0"/>
          <w:numId w:val="34"/>
        </w:numPr>
        <w:spacing w:before="120" w:after="240"/>
        <w:ind w:left="360"/>
        <w:contextualSpacing w:val="0"/>
        <w:rPr>
          <w:rFonts w:eastAsia="Times New Roman" w:cs="Times New Roman"/>
          <w:szCs w:val="24"/>
        </w:rPr>
      </w:pPr>
      <w:r>
        <w:t>Informer les fournisseurs</w:t>
      </w:r>
    </w:p>
    <w:p w14:paraId="6CF4A570" w14:textId="74BA1046" w:rsidR="00040F40" w:rsidRPr="000202DB" w:rsidRDefault="00040F40" w:rsidP="002D13E4">
      <w:pPr>
        <w:pStyle w:val="ListParagraph"/>
        <w:numPr>
          <w:ilvl w:val="0"/>
          <w:numId w:val="62"/>
        </w:numPr>
        <w:spacing w:after="240" w:line="240" w:lineRule="auto"/>
        <w:contextualSpacing w:val="0"/>
        <w:rPr>
          <w:b/>
          <w:bCs/>
          <w:szCs w:val="24"/>
        </w:rPr>
      </w:pPr>
      <w:r>
        <w:rPr>
          <w:b/>
          <w:bCs/>
          <w:szCs w:val="24"/>
        </w:rPr>
        <w:t>Gestion et clôture des contrats</w:t>
      </w:r>
    </w:p>
    <w:p w14:paraId="007BB9BF" w14:textId="2A1FB6E0" w:rsidR="00040F40" w:rsidRPr="00126727" w:rsidRDefault="643C677E" w:rsidP="00413F5E">
      <w:pPr>
        <w:pStyle w:val="ListParagraph"/>
        <w:numPr>
          <w:ilvl w:val="0"/>
          <w:numId w:val="34"/>
        </w:numPr>
        <w:spacing w:before="120" w:after="240"/>
        <w:ind w:left="360"/>
        <w:contextualSpacing w:val="0"/>
        <w:rPr>
          <w:rFonts w:eastAsia="Times New Roman" w:cs="Times New Roman"/>
          <w:szCs w:val="24"/>
        </w:rPr>
      </w:pPr>
      <w:r>
        <w:t>Aucun changement au processus</w:t>
      </w:r>
    </w:p>
    <w:p w14:paraId="19BDBA08" w14:textId="77777777" w:rsidR="00FB43D1" w:rsidRDefault="00FB43D1">
      <w:pPr>
        <w:spacing w:before="0" w:line="259" w:lineRule="auto"/>
        <w:rPr>
          <w:rFonts w:eastAsiaTheme="majorEastAsia" w:cstheme="majorBidi"/>
          <w:b/>
          <w:bCs/>
          <w:smallCaps/>
          <w:color w:val="006E81" w:themeColor="text2"/>
          <w:sz w:val="28"/>
          <w:szCs w:val="28"/>
        </w:rPr>
      </w:pPr>
      <w:r>
        <w:br w:type="page"/>
      </w:r>
    </w:p>
    <w:p w14:paraId="79820234" w14:textId="15D7FAD0" w:rsidR="00592AA6" w:rsidRPr="000202DB" w:rsidRDefault="0020188E" w:rsidP="006F3345">
      <w:pPr>
        <w:pStyle w:val="Heading2"/>
      </w:pPr>
      <w:bookmarkStart w:id="29" w:name="_Toc175666952"/>
      <w:r>
        <w:lastRenderedPageBreak/>
        <w:t>Stratégie 5 : Inclure une obligation d’IRTB d’une valeur estimative de 50 millions de dollars dans un ou plusieurs secteurs précis</w:t>
      </w:r>
      <w:bookmarkEnd w:id="29"/>
    </w:p>
    <w:p w14:paraId="463A1929" w14:textId="29728424" w:rsidR="007D3603" w:rsidRDefault="007D3603" w:rsidP="00BC679E">
      <w:pPr>
        <w:spacing w:after="240" w:line="240" w:lineRule="auto"/>
        <w:rPr>
          <w:rFonts w:eastAsiaTheme="majorEastAsia" w:cstheme="majorBidi"/>
          <w:b/>
          <w:bCs/>
          <w:color w:val="006E81" w:themeColor="text2"/>
          <w:szCs w:val="24"/>
        </w:rPr>
      </w:pPr>
      <w:bookmarkStart w:id="30" w:name="_Toc160536215"/>
      <w:bookmarkStart w:id="31" w:name="_Toc160543350"/>
      <w:bookmarkStart w:id="32" w:name="_Toc160543410"/>
      <w:bookmarkStart w:id="33" w:name="_Toc160543956"/>
      <w:bookmarkStart w:id="34" w:name="_Toc160544103"/>
      <w:bookmarkStart w:id="35" w:name="_Toc160544268"/>
      <w:bookmarkStart w:id="36" w:name="_Toc160548739"/>
      <w:bookmarkStart w:id="37" w:name="_Toc140237058"/>
      <w:bookmarkStart w:id="38" w:name="_Toc140237060"/>
      <w:bookmarkEnd w:id="30"/>
      <w:bookmarkEnd w:id="31"/>
      <w:bookmarkEnd w:id="32"/>
      <w:bookmarkEnd w:id="33"/>
      <w:bookmarkEnd w:id="34"/>
      <w:bookmarkEnd w:id="35"/>
      <w:bookmarkEnd w:id="36"/>
      <w:bookmarkEnd w:id="37"/>
      <w:bookmarkEnd w:id="38"/>
      <w:r>
        <w:rPr>
          <w:b/>
          <w:bCs/>
          <w:color w:val="006E81" w:themeColor="text2"/>
          <w:szCs w:val="24"/>
        </w:rPr>
        <w:t>Quand l’utiliser</w:t>
      </w:r>
    </w:p>
    <w:p w14:paraId="316A563B" w14:textId="7D8442C2" w:rsidR="003C36E1" w:rsidRPr="00C11093" w:rsidRDefault="003C36E1" w:rsidP="00413F5E">
      <w:pPr>
        <w:pStyle w:val="ListParagraph"/>
        <w:numPr>
          <w:ilvl w:val="0"/>
          <w:numId w:val="33"/>
        </w:numPr>
        <w:spacing w:before="120" w:after="240"/>
        <w:ind w:left="360"/>
        <w:contextualSpacing w:val="0"/>
        <w:rPr>
          <w:color w:val="000000" w:themeColor="text1"/>
        </w:rPr>
      </w:pPr>
      <w:r>
        <w:t xml:space="preserve">Les retombées industrielles, régionales et technologiques (IRTB) s’appliquent à tous les approvisionnements d’une valeur égale ou supérieure à 50 millions de dollars, liés </w:t>
      </w:r>
      <w:r>
        <w:rPr>
          <w:b/>
          <w:bCs/>
          <w:color w:val="000000" w:themeColor="text1"/>
        </w:rPr>
        <w:t>à la construction, aux infrastructures, à l’environnement et aux technologies de l’information (T.I.)</w:t>
      </w:r>
      <w:r>
        <w:t xml:space="preserve"> et pour lesquels les accords commerciaux offrent une certaine souplesse.</w:t>
      </w:r>
    </w:p>
    <w:p w14:paraId="4FE365C7" w14:textId="3314803A" w:rsidR="00C11093" w:rsidRPr="00C11093" w:rsidRDefault="003C36E1" w:rsidP="00413F5E">
      <w:pPr>
        <w:pStyle w:val="ListParagraph"/>
        <w:numPr>
          <w:ilvl w:val="0"/>
          <w:numId w:val="33"/>
        </w:numPr>
        <w:spacing w:before="120" w:after="240"/>
        <w:ind w:left="360"/>
        <w:contextualSpacing w:val="0"/>
        <w:rPr>
          <w:rFonts w:eastAsiaTheme="majorEastAsia" w:cstheme="majorBidi"/>
          <w:b/>
          <w:bCs/>
          <w:color w:val="000000" w:themeColor="text1"/>
        </w:rPr>
      </w:pPr>
      <w:r>
        <w:rPr>
          <w:color w:val="000000" w:themeColor="text1"/>
        </w:rPr>
        <w:t>Pour tout approvisionnement d’une valeur égale ou supérieure à 50 millions de dollars et qui ne relève pas de l’un des secteurs ciblés ci-dessus, l’acheteur n’est pas tenu d’inclure cette exigence dans son appel d’offres.</w:t>
      </w:r>
    </w:p>
    <w:p w14:paraId="4C1F0C00" w14:textId="673DFB6D" w:rsidR="00DB6F8F" w:rsidRPr="00C11093" w:rsidRDefault="00DB6F8F" w:rsidP="0075412A">
      <w:pPr>
        <w:pStyle w:val="Heading3"/>
      </w:pPr>
      <w:r>
        <w:t>Description de la stratégie</w:t>
      </w:r>
    </w:p>
    <w:p w14:paraId="7D3B5E3A" w14:textId="49038D45" w:rsidR="00DB6F8F" w:rsidRPr="000508F9" w:rsidRDefault="00C11093" w:rsidP="00413F5E">
      <w:pPr>
        <w:pStyle w:val="ListParagraph"/>
        <w:numPr>
          <w:ilvl w:val="0"/>
          <w:numId w:val="34"/>
        </w:numPr>
        <w:spacing w:before="120" w:after="240"/>
        <w:ind w:left="360"/>
        <w:contextualSpacing w:val="0"/>
        <w:rPr>
          <w:rFonts w:cs="Arial"/>
        </w:rPr>
      </w:pPr>
      <w:r>
        <w:t xml:space="preserve">La stratégie sur les retombées industrielles, régionales et technologiques (IRTB) est conçue pour accroître les avantages économiques locaux tirés des grands achats effectués par le secteur public de l’Ontario. </w:t>
      </w:r>
    </w:p>
    <w:p w14:paraId="5A366A42" w14:textId="0B163DD6" w:rsidR="001A3AC7" w:rsidRPr="001A3AC7" w:rsidRDefault="001A3AC7" w:rsidP="00264B5C">
      <w:pPr>
        <w:spacing w:after="240"/>
        <w:rPr>
          <w:rFonts w:cs="Arial"/>
        </w:rPr>
      </w:pPr>
      <w:r>
        <w:rPr>
          <w:b/>
          <w:bCs/>
          <w:sz w:val="28"/>
          <w:szCs w:val="28"/>
        </w:rPr>
        <w:t>Remarque :</w:t>
      </w:r>
      <w:r>
        <w:t xml:space="preserve"> Si l’acheteur intègre cette stratégie, il doit contacter </w:t>
      </w:r>
      <w:proofErr w:type="spellStart"/>
      <w:r>
        <w:t>ApprovisiOntario</w:t>
      </w:r>
      <w:proofErr w:type="spellEnd"/>
      <w:r>
        <w:t xml:space="preserve"> pour obtenir des conseils. </w:t>
      </w:r>
    </w:p>
    <w:p w14:paraId="2953986C" w14:textId="35FBBC68" w:rsidR="16D46C35" w:rsidRDefault="000D5999" w:rsidP="003A1AC7">
      <w:pPr>
        <w:pStyle w:val="Heading1"/>
      </w:pPr>
      <w:bookmarkStart w:id="39" w:name="_Toc175666953"/>
      <w:r>
        <w:t>Exceptions commerciales et dispositions de non-application (processus d’approvisionnement non concurrentiel)</w:t>
      </w:r>
      <w:bookmarkEnd w:id="39"/>
      <w:r>
        <w:t xml:space="preserve"> </w:t>
      </w:r>
    </w:p>
    <w:p w14:paraId="0F0CE450" w14:textId="621F4B78" w:rsidR="005D5C8B" w:rsidRDefault="00F87FAA" w:rsidP="006F3345">
      <w:pPr>
        <w:pStyle w:val="Heading2"/>
      </w:pPr>
      <w:bookmarkStart w:id="40" w:name="_Toc175666954"/>
      <w:r>
        <w:t>Stratégie 6 : Tirer parti des possibilités de non-application ou d’appel d’offres limité prévues dans les accords commerciaux pour privilégier, dans la mesure du possible, une entreprise ontarienne.</w:t>
      </w:r>
      <w:bookmarkStart w:id="41" w:name="_Toc82601593"/>
      <w:bookmarkEnd w:id="40"/>
    </w:p>
    <w:p w14:paraId="36B90F31" w14:textId="77777777" w:rsidR="00D018A5" w:rsidRPr="00844B26" w:rsidRDefault="00D018A5" w:rsidP="00BC679E">
      <w:pPr>
        <w:spacing w:after="240" w:line="240" w:lineRule="auto"/>
        <w:rPr>
          <w:rFonts w:eastAsiaTheme="majorEastAsia" w:cstheme="majorBidi"/>
          <w:b/>
          <w:bCs/>
          <w:color w:val="006E81" w:themeColor="text2"/>
          <w:szCs w:val="24"/>
        </w:rPr>
      </w:pPr>
      <w:r>
        <w:rPr>
          <w:b/>
          <w:bCs/>
          <w:color w:val="006E81" w:themeColor="text2"/>
          <w:szCs w:val="24"/>
        </w:rPr>
        <w:t>Quand l’utiliser :</w:t>
      </w:r>
    </w:p>
    <w:p w14:paraId="13287242" w14:textId="77777777" w:rsidR="00D30A76" w:rsidRPr="000F6636" w:rsidRDefault="00D30A76" w:rsidP="00413F5E">
      <w:pPr>
        <w:pStyle w:val="ListParagraph"/>
        <w:numPr>
          <w:ilvl w:val="0"/>
          <w:numId w:val="33"/>
        </w:numPr>
        <w:spacing w:before="120" w:after="240"/>
        <w:ind w:left="360"/>
        <w:contextualSpacing w:val="0"/>
        <w:rPr>
          <w:rFonts w:cs="Arial"/>
          <w:szCs w:val="24"/>
        </w:rPr>
      </w:pPr>
      <w:r>
        <w:lastRenderedPageBreak/>
        <w:t xml:space="preserve">Dans la mesure du possible, utiliser les dispositions et les exceptions prévues dans les accords commerciaux applicables pour orienter les approvisionnements vers les entreprises ontariennes. </w:t>
      </w:r>
    </w:p>
    <w:p w14:paraId="5D1D5EA3" w14:textId="59C9E3EE" w:rsidR="00161CE6" w:rsidRDefault="00953566" w:rsidP="00413F5E">
      <w:pPr>
        <w:pStyle w:val="ListParagraph"/>
        <w:numPr>
          <w:ilvl w:val="0"/>
          <w:numId w:val="33"/>
        </w:numPr>
        <w:spacing w:before="120" w:after="240"/>
        <w:ind w:left="360"/>
        <w:contextualSpacing w:val="0"/>
      </w:pPr>
      <w:r>
        <w:t xml:space="preserve">Il existe certaines exceptions admissibles qui permettent aux entités gouvernementales, sous réserve de l’approbation de l’autorité compétente en matière d’approvisionnement, de recourir à un processus d’approvisionnement non concurrentiel. </w:t>
      </w:r>
      <w:r w:rsidR="00844B26">
        <w:rPr>
          <w:rStyle w:val="FootnoteReference"/>
        </w:rPr>
        <w:footnoteReference w:id="5"/>
      </w:r>
    </w:p>
    <w:p w14:paraId="4EA55F83" w14:textId="00BECF21" w:rsidR="005D0241" w:rsidRDefault="00E009E8" w:rsidP="00413F5E">
      <w:pPr>
        <w:pStyle w:val="ListParagraph"/>
        <w:numPr>
          <w:ilvl w:val="0"/>
          <w:numId w:val="33"/>
        </w:numPr>
        <w:spacing w:before="120" w:after="240"/>
        <w:ind w:left="360"/>
        <w:contextualSpacing w:val="0"/>
      </w:pPr>
      <w:r>
        <w:t>Sous réserve des approbations appropriées de l’approvisionnement, les achats non concurrentiels de biens, de services de conseil et d’autres services ne sont autorisés que dans les circonstances suivantes :</w:t>
      </w:r>
    </w:p>
    <w:p w14:paraId="67364DC5" w14:textId="537A95B0" w:rsidR="005D0241" w:rsidRDefault="00E009E8" w:rsidP="00413F5E">
      <w:pPr>
        <w:pStyle w:val="ListParagraph"/>
        <w:numPr>
          <w:ilvl w:val="0"/>
          <w:numId w:val="54"/>
        </w:numPr>
        <w:spacing w:before="120" w:after="240"/>
        <w:contextualSpacing w:val="0"/>
      </w:pPr>
      <w:r>
        <w:t xml:space="preserve">Lorsqu’il existe une situation d’urgence imprévue et que les circonstances ne permettent pas d’acheter les biens, les services de conseil, les services ou les travaux en suivant un processus d’approvisionnement concurrentiel. </w:t>
      </w:r>
    </w:p>
    <w:p w14:paraId="4575B440" w14:textId="5D642CBC" w:rsidR="00C941F0" w:rsidRDefault="00E009E8" w:rsidP="00413F5E">
      <w:pPr>
        <w:pStyle w:val="ListParagraph"/>
        <w:numPr>
          <w:ilvl w:val="0"/>
          <w:numId w:val="54"/>
        </w:numPr>
        <w:spacing w:before="120" w:after="240"/>
        <w:contextualSpacing w:val="0"/>
      </w:pPr>
      <w:r>
        <w:t xml:space="preserve">Lorsque des biens, des services de conseil ou autres concernant des faits de nature confidentielle ou privilégiée doivent être achetés et que la divulgation de ces faits dans le cadre d’un processus d’approvisionnement concurrentiel pourrait raisonnablement compromettre la confidentialité du gouvernement, causer des perturbations économiques ou être contraire à l’intérêt public. </w:t>
      </w:r>
    </w:p>
    <w:p w14:paraId="4533BF8C" w14:textId="2ABF0254" w:rsidR="00C941F0" w:rsidRDefault="00E009E8" w:rsidP="00413F5E">
      <w:pPr>
        <w:pStyle w:val="ListParagraph"/>
        <w:numPr>
          <w:ilvl w:val="0"/>
          <w:numId w:val="54"/>
        </w:numPr>
        <w:spacing w:before="120" w:after="240"/>
        <w:contextualSpacing w:val="0"/>
      </w:pPr>
      <w:r>
        <w:t>Lorsqu’une procédure de mise en concurrence risque d’entraver la capacité du gouvernement à maintenir la sécurité ou l’ordre ou à protéger la vie ou la santé des personnes, des animaux ou des plantes d) Lorsqu’aucune offre qualifiée n’a été soumise en réponse à un appel d’offres concurrentiel.</w:t>
      </w:r>
    </w:p>
    <w:p w14:paraId="69A827BD" w14:textId="3A6EE3D1" w:rsidR="00B637E6" w:rsidRDefault="00E009E8" w:rsidP="00413F5E">
      <w:pPr>
        <w:pStyle w:val="ListParagraph"/>
        <w:numPr>
          <w:ilvl w:val="0"/>
          <w:numId w:val="54"/>
        </w:numPr>
        <w:spacing w:before="120" w:after="240"/>
        <w:contextualSpacing w:val="0"/>
      </w:pPr>
      <w:r>
        <w:t xml:space="preserve">Lorsque l’approvisionnement est destiné à soutenir les peuples autochtones. </w:t>
      </w:r>
    </w:p>
    <w:p w14:paraId="19A7AE7F" w14:textId="3D5D0656" w:rsidR="00B637E6" w:rsidRDefault="00E009E8" w:rsidP="00413F5E">
      <w:pPr>
        <w:pStyle w:val="ListParagraph"/>
        <w:numPr>
          <w:ilvl w:val="0"/>
          <w:numId w:val="54"/>
        </w:numPr>
        <w:spacing w:before="120" w:after="240"/>
        <w:contextualSpacing w:val="0"/>
      </w:pPr>
      <w:r>
        <w:lastRenderedPageBreak/>
        <w:t xml:space="preserve">Lorsque l’approvisionnement se fait auprès d’un organisme public. </w:t>
      </w:r>
    </w:p>
    <w:p w14:paraId="33BFDC68" w14:textId="598B6A54" w:rsidR="00B637E6" w:rsidRDefault="00E009E8" w:rsidP="00413F5E">
      <w:pPr>
        <w:pStyle w:val="ListParagraph"/>
        <w:numPr>
          <w:ilvl w:val="0"/>
          <w:numId w:val="54"/>
        </w:numPr>
        <w:spacing w:before="120" w:after="240"/>
        <w:contextualSpacing w:val="0"/>
      </w:pPr>
      <w:r>
        <w:t xml:space="preserve">Lorsqu’un seul fournisseur est en mesure de répondre aux exigences d’un approvisionnement dans les circonstances suivantes : </w:t>
      </w:r>
    </w:p>
    <w:p w14:paraId="1A90F93E" w14:textId="38DDDEBD" w:rsidR="00C05757" w:rsidRDefault="00E009E8" w:rsidP="00413F5E">
      <w:pPr>
        <w:pStyle w:val="ListParagraph"/>
        <w:numPr>
          <w:ilvl w:val="2"/>
          <w:numId w:val="55"/>
        </w:numPr>
        <w:spacing w:after="240"/>
        <w:ind w:left="1530"/>
      </w:pPr>
      <w:r>
        <w:t xml:space="preserve">Pour assurer la compatibilité avec les produits et services existants. La compatibilité avec des produits ou services existants peut ne pas être autorisée si la raison de la compatibilité est le résultat d’un ou de plusieurs approvisionnements antérieurs non concurrentiels. </w:t>
      </w:r>
    </w:p>
    <w:p w14:paraId="7911ABC2" w14:textId="79BD524E" w:rsidR="00C05757" w:rsidRDefault="00E009E8" w:rsidP="00413F5E">
      <w:pPr>
        <w:pStyle w:val="ListParagraph"/>
        <w:numPr>
          <w:ilvl w:val="2"/>
          <w:numId w:val="55"/>
        </w:numPr>
        <w:spacing w:after="240"/>
        <w:ind w:left="1530"/>
      </w:pPr>
      <w:r>
        <w:t xml:space="preserve">Pour reconnaître les droits exclusifs, tels que les licences exclusives, les droits d’auteur et les droits de brevet, ou entretenir des produits spécialisés qui doivent être entretenus par le fabricant ou ses représentants. </w:t>
      </w:r>
    </w:p>
    <w:p w14:paraId="65C52A32" w14:textId="320909EA" w:rsidR="00C05757" w:rsidRDefault="00E009E8" w:rsidP="00413F5E">
      <w:pPr>
        <w:pStyle w:val="ListParagraph"/>
        <w:numPr>
          <w:ilvl w:val="2"/>
          <w:numId w:val="55"/>
        </w:numPr>
        <w:spacing w:after="240"/>
        <w:ind w:left="1541" w:hanging="187"/>
        <w:contextualSpacing w:val="0"/>
      </w:pPr>
      <w:r>
        <w:t>Pour l’approvisionnement en biens et services dont l’offre est contrôlée par un fournisseur disposant d’un monopole légal.</w:t>
      </w:r>
    </w:p>
    <w:p w14:paraId="270E86B9" w14:textId="77777777" w:rsidR="00C05757" w:rsidRPr="003338AC" w:rsidRDefault="00E009E8" w:rsidP="00413F5E">
      <w:pPr>
        <w:pStyle w:val="ListParagraph"/>
        <w:numPr>
          <w:ilvl w:val="0"/>
          <w:numId w:val="33"/>
        </w:numPr>
        <w:spacing w:before="120" w:after="240"/>
        <w:ind w:left="360"/>
        <w:contextualSpacing w:val="0"/>
        <w:rPr>
          <w:rFonts w:cs="Arial"/>
          <w:szCs w:val="24"/>
        </w:rPr>
      </w:pPr>
      <w:r>
        <w:t xml:space="preserve">Les circonstances supplémentaires suivantes dans lesquelles les achats non concurrentiels sont autorisés ne s’appliquent qu’aux biens et aux services autres que les services de conseil, sous réserve des approbations appropriées en matière d’approvisionnement : </w:t>
      </w:r>
    </w:p>
    <w:p w14:paraId="2D6A5896" w14:textId="63E3247C" w:rsidR="00C05757" w:rsidRDefault="00E009E8" w:rsidP="00413F5E">
      <w:pPr>
        <w:pStyle w:val="ListParagraph"/>
        <w:numPr>
          <w:ilvl w:val="0"/>
          <w:numId w:val="56"/>
        </w:numPr>
        <w:spacing w:before="120" w:after="240"/>
        <w:contextualSpacing w:val="0"/>
      </w:pPr>
      <w:r>
        <w:t xml:space="preserve">Lorsqu’une attribution est faite dans le cadre d’un accord de coopération financé, en tout ou en partie, par une organisation internationale, uniquement dans la mesure où l’accord prévoit des règles différentes pour l’attribution des contrats. </w:t>
      </w:r>
    </w:p>
    <w:p w14:paraId="79076782" w14:textId="1BABAB8E" w:rsidR="007C6E7E" w:rsidRDefault="00E009E8" w:rsidP="00413F5E">
      <w:pPr>
        <w:pStyle w:val="ListParagraph"/>
        <w:numPr>
          <w:ilvl w:val="0"/>
          <w:numId w:val="56"/>
        </w:numPr>
        <w:spacing w:before="120" w:after="240"/>
        <w:contextualSpacing w:val="0"/>
      </w:pPr>
      <w:r>
        <w:t xml:space="preserve">Lorsque des matériaux de construction doivent être achetés et qu’il peut être démontré que les coûts de transport ou des considérations techniques imposent des limites géographiques à la base d’approvisionnement disponible, en particulier dans le cas du sable, de la pierre, du gravier, de l’asphalte et du béton </w:t>
      </w:r>
      <w:proofErr w:type="spellStart"/>
      <w:r>
        <w:t>prémélangé</w:t>
      </w:r>
      <w:proofErr w:type="spellEnd"/>
      <w:r>
        <w:t xml:space="preserve"> utilisés pour la construction ou la réparation des routes. </w:t>
      </w:r>
    </w:p>
    <w:p w14:paraId="720FA1DB" w14:textId="30E57D57" w:rsidR="000C4A94" w:rsidRDefault="00E009E8" w:rsidP="00413F5E">
      <w:pPr>
        <w:pStyle w:val="ListParagraph"/>
        <w:numPr>
          <w:ilvl w:val="0"/>
          <w:numId w:val="56"/>
        </w:numPr>
        <w:spacing w:before="120" w:after="240"/>
        <w:contextualSpacing w:val="0"/>
      </w:pPr>
      <w:r>
        <w:t xml:space="preserve">Lorsqu’un seul fournisseur est en mesure de répondre aux exigences d’un approvisionnement dans les circonstances suivantes : </w:t>
      </w:r>
    </w:p>
    <w:p w14:paraId="4D7F93C8" w14:textId="44A9129E" w:rsidR="000C4A94" w:rsidRDefault="00E009E8" w:rsidP="00413F5E">
      <w:pPr>
        <w:pStyle w:val="ListParagraph"/>
        <w:numPr>
          <w:ilvl w:val="0"/>
          <w:numId w:val="57"/>
        </w:numPr>
        <w:spacing w:after="240"/>
      </w:pPr>
      <w:r>
        <w:lastRenderedPageBreak/>
        <w:t xml:space="preserve">Pour l’achat de biens sur un marché de matières premières. </w:t>
      </w:r>
    </w:p>
    <w:p w14:paraId="5F881BD8" w14:textId="45E91D6C" w:rsidR="000C4A94" w:rsidRDefault="00E009E8" w:rsidP="00413F5E">
      <w:pPr>
        <w:pStyle w:val="ListParagraph"/>
        <w:numPr>
          <w:ilvl w:val="0"/>
          <w:numId w:val="57"/>
        </w:numPr>
        <w:spacing w:after="240"/>
      </w:pPr>
      <w:r>
        <w:t>Pour les travaux à effectuer sur ou autour d’un bâtiment loué ou de parties de celui-ci, qui ne peuvent être effectués que par le bailleur.</w:t>
      </w:r>
    </w:p>
    <w:p w14:paraId="3BAB38B2" w14:textId="1FE5B3AC" w:rsidR="000C4A94" w:rsidRDefault="00E009E8" w:rsidP="00413F5E">
      <w:pPr>
        <w:pStyle w:val="ListParagraph"/>
        <w:numPr>
          <w:ilvl w:val="0"/>
          <w:numId w:val="57"/>
        </w:numPr>
        <w:spacing w:after="240"/>
      </w:pPr>
      <w:r>
        <w:t xml:space="preserve">Pour les travaux à effectuer sur un bien par un entrepreneur conformément aux dispositions d’une garantie ou d’une caution applicable au bien ou au travail original. </w:t>
      </w:r>
    </w:p>
    <w:p w14:paraId="4BA2B06C" w14:textId="46E8C661" w:rsidR="000C4A94" w:rsidRDefault="00E009E8" w:rsidP="00413F5E">
      <w:pPr>
        <w:pStyle w:val="ListParagraph"/>
        <w:numPr>
          <w:ilvl w:val="0"/>
          <w:numId w:val="57"/>
        </w:numPr>
        <w:spacing w:after="240"/>
      </w:pPr>
      <w:r>
        <w:t xml:space="preserve">Pour l’attribution d’un contrat au lauréat d’un concours de design. </w:t>
      </w:r>
    </w:p>
    <w:p w14:paraId="7E840CFC" w14:textId="54EDC1E8" w:rsidR="000C4A94" w:rsidRDefault="00E009E8" w:rsidP="00413F5E">
      <w:pPr>
        <w:pStyle w:val="ListParagraph"/>
        <w:numPr>
          <w:ilvl w:val="0"/>
          <w:numId w:val="57"/>
        </w:numPr>
        <w:spacing w:after="240"/>
      </w:pPr>
      <w:r>
        <w:t xml:space="preserve">Pour l’approvisionnement d’un prototype ou d’un premier bien ou service à développer dans le cadre d’une recherche, d’une expérience, d’une étude ou d’un développement original, mais pas pour des achats ultérieurs. </w:t>
      </w:r>
    </w:p>
    <w:p w14:paraId="67171C73" w14:textId="06D8CB15" w:rsidR="001D18E8" w:rsidRDefault="00E009E8" w:rsidP="00413F5E">
      <w:pPr>
        <w:pStyle w:val="ListParagraph"/>
        <w:numPr>
          <w:ilvl w:val="0"/>
          <w:numId w:val="57"/>
        </w:numPr>
        <w:spacing w:after="240"/>
      </w:pPr>
      <w:r>
        <w:t xml:space="preserve">Pour l’achat de biens dans des circonstances exceptionnellement avantageuses telles que la faillite ou le redressement judiciaire, mais pas pour les achats courants. </w:t>
      </w:r>
    </w:p>
    <w:p w14:paraId="6BE622F8" w14:textId="162C5D3D" w:rsidR="001D18E8" w:rsidRDefault="00E009E8" w:rsidP="00413F5E">
      <w:pPr>
        <w:pStyle w:val="ListParagraph"/>
        <w:numPr>
          <w:ilvl w:val="0"/>
          <w:numId w:val="57"/>
        </w:numPr>
        <w:spacing w:after="240"/>
      </w:pPr>
      <w:r>
        <w:t xml:space="preserve">Pour l’acquisition d’œuvres d’art originales. viii. Pour l’achat d’abonnements à des journaux, des magazines ou d’autres périodiques. </w:t>
      </w:r>
    </w:p>
    <w:p w14:paraId="656D737B" w14:textId="6CCAACD6" w:rsidR="00161CE6" w:rsidRDefault="00E009E8" w:rsidP="00413F5E">
      <w:pPr>
        <w:pStyle w:val="ListParagraph"/>
        <w:numPr>
          <w:ilvl w:val="0"/>
          <w:numId w:val="57"/>
        </w:numPr>
        <w:spacing w:after="240"/>
      </w:pPr>
      <w:r>
        <w:t>Pour l’achat de biens immobiliers.</w:t>
      </w:r>
    </w:p>
    <w:p w14:paraId="3E5A34AF" w14:textId="77777777" w:rsidR="00AE3402" w:rsidRDefault="00AE3402" w:rsidP="00AE3402">
      <w:pPr>
        <w:spacing w:after="240"/>
      </w:pPr>
    </w:p>
    <w:p w14:paraId="79E954CA" w14:textId="77777777" w:rsidR="00BC62B7" w:rsidRDefault="00BC62B7" w:rsidP="00AE3402">
      <w:pPr>
        <w:spacing w:after="240"/>
        <w:sectPr w:rsidR="00BC62B7" w:rsidSect="00912C8D">
          <w:headerReference w:type="default" r:id="rId15"/>
          <w:footerReference w:type="default" r:id="rId16"/>
          <w:footerReference w:type="first" r:id="rId17"/>
          <w:pgSz w:w="12240" w:h="15840"/>
          <w:pgMar w:top="1440" w:right="1440" w:bottom="1440" w:left="1440" w:header="308" w:footer="340" w:gutter="0"/>
          <w:cols w:space="708"/>
          <w:titlePg/>
          <w:docGrid w:linePitch="360"/>
        </w:sectPr>
      </w:pPr>
    </w:p>
    <w:p w14:paraId="05481615" w14:textId="77777777" w:rsidR="00AE3402" w:rsidRDefault="00AE3402" w:rsidP="00AE3402">
      <w:pPr>
        <w:spacing w:after="240"/>
      </w:pPr>
    </w:p>
    <w:p w14:paraId="423F87CF" w14:textId="77777777" w:rsidR="00577016" w:rsidRDefault="00577016" w:rsidP="00264B5C"/>
    <w:p w14:paraId="4486820A" w14:textId="2B9C88FF" w:rsidR="00CD1A04" w:rsidRPr="000202DB" w:rsidRDefault="001A3AC7" w:rsidP="003A1AC7">
      <w:pPr>
        <w:pStyle w:val="Heading1"/>
      </w:pPr>
      <w:bookmarkStart w:id="42" w:name="_Toc140237062"/>
      <w:bookmarkEnd w:id="42"/>
      <w:r>
        <w:br w:type="page"/>
      </w:r>
      <w:bookmarkStart w:id="43" w:name="_Toc175666955"/>
      <w:r>
        <w:lastRenderedPageBreak/>
        <w:t>ANNEXES</w:t>
      </w:r>
      <w:bookmarkStart w:id="44" w:name="_Toc82601594"/>
      <w:bookmarkEnd w:id="41"/>
      <w:bookmarkEnd w:id="43"/>
    </w:p>
    <w:p w14:paraId="77378322" w14:textId="53DD97EC" w:rsidR="00CD1A04" w:rsidRPr="000202DB" w:rsidRDefault="002D13E4" w:rsidP="00413F5E">
      <w:pPr>
        <w:pStyle w:val="Heading2A"/>
        <w:numPr>
          <w:ilvl w:val="0"/>
          <w:numId w:val="59"/>
        </w:numPr>
      </w:pPr>
      <w:bookmarkStart w:id="45" w:name="_Appendix_A:_Weighted"/>
      <w:bookmarkStart w:id="46" w:name="_Toc175666956"/>
      <w:bookmarkEnd w:id="45"/>
      <w:r>
        <w:t xml:space="preserve">  </w:t>
      </w:r>
      <w:r w:rsidR="00CD1A04">
        <w:t>Critères nationaux pondérés</w:t>
      </w:r>
      <w:bookmarkEnd w:id="46"/>
    </w:p>
    <w:p w14:paraId="134379AF" w14:textId="6287DFC2" w:rsidR="003A6502" w:rsidRPr="000202DB" w:rsidRDefault="003A6502" w:rsidP="00BC679E">
      <w:pPr>
        <w:spacing w:after="240" w:line="240" w:lineRule="auto"/>
      </w:pPr>
      <w:r>
        <w:t xml:space="preserve">L’inclusion de tout critère national pondéré doit se faire de façon ponctuelle pour un approvisionnement en particulier, et doit prendre en considération la connaissance du marché, les principaux fournisseurs, les stratégies d’atténuation des risques et la disponibilité des fournisseurs pour répondre aux besoins en approvisionnement : </w:t>
      </w:r>
    </w:p>
    <w:p w14:paraId="1E9FE4C0" w14:textId="68B1084F" w:rsidR="003A6502" w:rsidRPr="00204DBE" w:rsidRDefault="00A11F28" w:rsidP="00413F5E">
      <w:pPr>
        <w:pStyle w:val="ListParagraph"/>
        <w:numPr>
          <w:ilvl w:val="0"/>
          <w:numId w:val="33"/>
        </w:numPr>
        <w:spacing w:before="120" w:after="240"/>
        <w:ind w:left="360"/>
        <w:contextualSpacing w:val="0"/>
        <w:rPr>
          <w:rFonts w:cs="Arial"/>
          <w:szCs w:val="24"/>
        </w:rPr>
      </w:pPr>
      <w:r>
        <w:t>Quand utiliser les critères nationaux (p. ex., l’étude de marché a-t-elle révélé qu’il y a des entreprises ontariennes en mesure de fournir le service ou le bien que vous essayez d’acquérir?).</w:t>
      </w:r>
    </w:p>
    <w:p w14:paraId="771759BC" w14:textId="373CE52D" w:rsidR="003A6502" w:rsidRPr="00204DBE" w:rsidRDefault="00DD786C" w:rsidP="00413F5E">
      <w:pPr>
        <w:pStyle w:val="ListParagraph"/>
        <w:numPr>
          <w:ilvl w:val="0"/>
          <w:numId w:val="33"/>
        </w:numPr>
        <w:spacing w:before="120" w:after="240"/>
        <w:ind w:left="360"/>
        <w:contextualSpacing w:val="0"/>
        <w:rPr>
          <w:rFonts w:cs="Arial"/>
          <w:szCs w:val="24"/>
        </w:rPr>
      </w:pPr>
      <w:r>
        <w:t>Quels critères nationaux seraient appropriés (p. ex., l’environnement du marché est-il similaire dans toutes les collectivités publiques ou les fournisseurs de l’Ontario ont-ils des réglementations qui doivent être respectées que les autres collectivités publiques n’ont pas?);</w:t>
      </w:r>
    </w:p>
    <w:p w14:paraId="46E178A4" w14:textId="7FD5C51F" w:rsidR="000C114C" w:rsidRPr="00204DBE" w:rsidRDefault="00E84413" w:rsidP="00413F5E">
      <w:pPr>
        <w:pStyle w:val="ListParagraph"/>
        <w:numPr>
          <w:ilvl w:val="0"/>
          <w:numId w:val="33"/>
        </w:numPr>
        <w:spacing w:before="120" w:after="240"/>
        <w:ind w:left="360"/>
        <w:contextualSpacing w:val="0"/>
        <w:rPr>
          <w:rFonts w:cs="Arial"/>
          <w:szCs w:val="24"/>
        </w:rPr>
      </w:pPr>
      <w:r>
        <w:t xml:space="preserve">Pondération des critères nationaux sélectionnés (p. ex., compréhension de la nature concurrentielle du marché). Êtes-vous en mesure d’obtenir le fournisseur dont vous avez besoin pour répondre à vos besoins? Est-ce un marché axé sur les prix? Est-ce la complexité de l’approvisionnement? </w:t>
      </w:r>
    </w:p>
    <w:p w14:paraId="55DA8625" w14:textId="0A0D370B" w:rsidR="003A6502" w:rsidRPr="00204DBE" w:rsidRDefault="77ED5FFB" w:rsidP="00413F5E">
      <w:pPr>
        <w:pStyle w:val="ListParagraph"/>
        <w:numPr>
          <w:ilvl w:val="0"/>
          <w:numId w:val="33"/>
        </w:numPr>
        <w:spacing w:before="120" w:after="240"/>
        <w:ind w:left="360"/>
        <w:contextualSpacing w:val="0"/>
        <w:rPr>
          <w:rFonts w:cs="Arial"/>
          <w:szCs w:val="24"/>
        </w:rPr>
      </w:pPr>
      <w:r>
        <w:t>Les acheteurs gèrent-ils les risques en fonction des critères nationaux sélectionnés?</w:t>
      </w:r>
    </w:p>
    <w:p w14:paraId="561E34B0" w14:textId="298209A7" w:rsidR="00272E09" w:rsidRPr="00204DBE" w:rsidRDefault="008F669B" w:rsidP="00413F5E">
      <w:pPr>
        <w:pStyle w:val="ListParagraph"/>
        <w:numPr>
          <w:ilvl w:val="0"/>
          <w:numId w:val="33"/>
        </w:numPr>
        <w:spacing w:before="120" w:after="240"/>
        <w:ind w:left="360"/>
        <w:contextualSpacing w:val="0"/>
        <w:rPr>
          <w:rFonts w:cs="Arial"/>
          <w:szCs w:val="24"/>
        </w:rPr>
      </w:pPr>
      <w:r>
        <w:t xml:space="preserve">Les acheteurs du secteur public doivent consulter des conseillers appropriés tels que des conseillers en approvisionnement et en gestion opérationnelle et les conseillers juridiques (y compris des avocats spécialisés dans le commerce) pour les risques liés aux critères d’évaluation. Conformément à la procédure habituelle, les acheteurs de la fonction publique doivent obtenir les autorisations nécessaires. Il est également important de s’assurer que des recherches suffisantes ont été menées pour déterminer les critères nationaux pondérés appropriés et que des experts en la matière (par exemple, en normes </w:t>
      </w:r>
      <w:r>
        <w:lastRenderedPageBreak/>
        <w:t>environnementales ou en droit du travail) ont été consultés. Voir les quelques exemples ci-dessous.</w:t>
      </w:r>
    </w:p>
    <w:p w14:paraId="6E075DD2" w14:textId="77777777" w:rsidR="006F616E" w:rsidRDefault="006F616E">
      <w:pPr>
        <w:spacing w:before="0" w:line="259" w:lineRule="auto"/>
        <w:rPr>
          <w:rFonts w:eastAsiaTheme="majorEastAsia" w:cstheme="majorBidi"/>
          <w:b/>
          <w:bCs/>
          <w:smallCaps/>
          <w:color w:val="006E81" w:themeColor="text2"/>
          <w:sz w:val="32"/>
          <w:szCs w:val="28"/>
        </w:rPr>
      </w:pPr>
      <w:r>
        <w:br w:type="page"/>
      </w:r>
    </w:p>
    <w:p w14:paraId="14A5D8DA" w14:textId="68C9623F" w:rsidR="00822005" w:rsidRDefault="002D13E4" w:rsidP="00413F5E">
      <w:pPr>
        <w:pStyle w:val="Heading2A"/>
        <w:numPr>
          <w:ilvl w:val="0"/>
          <w:numId w:val="59"/>
        </w:numPr>
      </w:pPr>
      <w:bookmarkStart w:id="47" w:name="_Toc175666957"/>
      <w:r>
        <w:lastRenderedPageBreak/>
        <w:t xml:space="preserve"> </w:t>
      </w:r>
      <w:r w:rsidR="00822005">
        <w:t>Exemples de critères nationaux pondérés</w:t>
      </w:r>
      <w:bookmarkEnd w:id="47"/>
    </w:p>
    <w:p w14:paraId="7ADA7BB2" w14:textId="586DE078" w:rsidR="00BF22E4" w:rsidRDefault="005F0DFF" w:rsidP="00BF22E4">
      <w:r>
        <w:rPr>
          <w:b/>
          <w:bCs/>
        </w:rPr>
        <w:t>Remarque </w:t>
      </w:r>
      <w:r>
        <w:t>: lors de l’utilisation de l’un des critères nationaux pondérés suivants, la pondération maximale attribuée ne doit pas dépasser 5 % :</w:t>
      </w:r>
    </w:p>
    <w:p w14:paraId="69D589B6" w14:textId="0E695B26" w:rsidR="00311BA8" w:rsidRDefault="00311BA8" w:rsidP="00413F5E">
      <w:pPr>
        <w:pStyle w:val="ListParagraph"/>
        <w:numPr>
          <w:ilvl w:val="0"/>
          <w:numId w:val="43"/>
        </w:numPr>
      </w:pPr>
      <w:r>
        <w:t>Avantage local</w:t>
      </w:r>
    </w:p>
    <w:p w14:paraId="411C98D6" w14:textId="1DE0E07C" w:rsidR="00311BA8" w:rsidRDefault="00311BA8" w:rsidP="00413F5E">
      <w:pPr>
        <w:pStyle w:val="ListParagraph"/>
        <w:numPr>
          <w:ilvl w:val="0"/>
          <w:numId w:val="43"/>
        </w:numPr>
      </w:pPr>
      <w:r>
        <w:t>Connaissances locales</w:t>
      </w:r>
    </w:p>
    <w:p w14:paraId="3A08F5B5" w14:textId="5397B2A4" w:rsidR="00311BA8" w:rsidRDefault="00311BA8" w:rsidP="00413F5E">
      <w:pPr>
        <w:pStyle w:val="ListParagraph"/>
        <w:numPr>
          <w:ilvl w:val="0"/>
          <w:numId w:val="43"/>
        </w:numPr>
      </w:pPr>
      <w:r>
        <w:t>Usage de ressources ou matériaux locaux</w:t>
      </w:r>
    </w:p>
    <w:p w14:paraId="174208D5" w14:textId="7DEF5494" w:rsidR="000644C9" w:rsidRPr="00DA09B7" w:rsidRDefault="008858AF" w:rsidP="00413F5E">
      <w:pPr>
        <w:pStyle w:val="Heading3"/>
        <w:numPr>
          <w:ilvl w:val="0"/>
          <w:numId w:val="61"/>
        </w:numPr>
      </w:pPr>
      <w:r>
        <w:t>Sécurité de la chaîne d’approvisionnement</w:t>
      </w:r>
    </w:p>
    <w:p w14:paraId="74A87FB6" w14:textId="09798DD0" w:rsidR="00CD1A04" w:rsidRPr="000202DB" w:rsidRDefault="00CD1A04" w:rsidP="00945B30">
      <w:pPr>
        <w:spacing w:after="240" w:line="240" w:lineRule="auto"/>
        <w:rPr>
          <w:rFonts w:eastAsiaTheme="majorEastAsia" w:cstheme="majorBidi"/>
          <w:b/>
          <w:bCs/>
          <w:color w:val="006E81" w:themeColor="text2"/>
          <w:szCs w:val="24"/>
        </w:rPr>
      </w:pPr>
      <w:r>
        <w:rPr>
          <w:b/>
          <w:bCs/>
          <w:color w:val="006E81" w:themeColor="text2"/>
          <w:szCs w:val="24"/>
        </w:rPr>
        <w:t>Quand l’utiliser</w:t>
      </w:r>
    </w:p>
    <w:p w14:paraId="7F3858C2" w14:textId="3B8B33C3" w:rsidR="00CD1A04" w:rsidRPr="000202DB" w:rsidRDefault="009C15D8" w:rsidP="00264B5C">
      <w:pPr>
        <w:spacing w:after="240"/>
      </w:pPr>
      <w:r>
        <w:t xml:space="preserve">Lorsqu’un retard dans la fourniture de biens ou de services pourrait avoir une incidence négative sur le gouvernement ou les Ontariens. </w:t>
      </w:r>
    </w:p>
    <w:p w14:paraId="5A4B1E3C" w14:textId="1F977542" w:rsidR="00CD1A04" w:rsidRPr="000202DB" w:rsidRDefault="00CD1A04" w:rsidP="00264B5C">
      <w:pPr>
        <w:spacing w:after="240"/>
      </w:pPr>
      <w:r>
        <w:t>Voici des exemples de questions qui peuvent être incluses dans un document d’approvisionnement et de la façon dont les réponses peuvent être évaluées.</w:t>
      </w:r>
    </w:p>
    <w:tbl>
      <w:tblPr>
        <w:tblStyle w:val="GridTable4-Accent1"/>
        <w:tblW w:w="5000" w:type="pct"/>
        <w:tblLook w:val="04A0" w:firstRow="1" w:lastRow="0" w:firstColumn="1" w:lastColumn="0" w:noHBand="0" w:noVBand="1"/>
        <w:tblCaption w:val="Table 6: Supply Chain Security"/>
        <w:tblDescription w:val="Examples of sample questions "/>
      </w:tblPr>
      <w:tblGrid>
        <w:gridCol w:w="5098"/>
        <w:gridCol w:w="4252"/>
      </w:tblGrid>
      <w:tr w:rsidR="00D7654C" w:rsidRPr="000202DB" w14:paraId="20B35315" w14:textId="77777777" w:rsidTr="0010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pct"/>
          </w:tcPr>
          <w:p w14:paraId="15E6BAF5" w14:textId="70C2B0FA" w:rsidR="00D7654C" w:rsidRPr="000202DB" w:rsidRDefault="00D7654C" w:rsidP="00264B5C">
            <w:pPr>
              <w:spacing w:before="120" w:after="120" w:line="240" w:lineRule="auto"/>
              <w:jc w:val="center"/>
              <w:rPr>
                <w:rFonts w:eastAsia="Times New Roman" w:cs="Times New Roman"/>
                <w:b w:val="0"/>
                <w:bCs w:val="0"/>
                <w:szCs w:val="24"/>
              </w:rPr>
            </w:pPr>
            <w:r>
              <w:t>Exemples de questions</w:t>
            </w:r>
          </w:p>
        </w:tc>
        <w:tc>
          <w:tcPr>
            <w:tcW w:w="2274" w:type="pct"/>
          </w:tcPr>
          <w:p w14:paraId="4F9EF895" w14:textId="780C47A0" w:rsidR="00D7654C" w:rsidRPr="000202DB" w:rsidRDefault="00D7654C" w:rsidP="00264B5C">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t>Que faut-il évaluer?</w:t>
            </w:r>
          </w:p>
        </w:tc>
      </w:tr>
      <w:tr w:rsidR="00D7654C" w:rsidRPr="000202DB" w14:paraId="4F2D983A" w14:textId="77777777" w:rsidTr="0010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pct"/>
          </w:tcPr>
          <w:p w14:paraId="261E4E3A" w14:textId="77777777" w:rsidR="00D7654C" w:rsidRPr="000202DB" w:rsidRDefault="00D7654C" w:rsidP="00413F5E">
            <w:pPr>
              <w:pStyle w:val="ListParagraph"/>
              <w:numPr>
                <w:ilvl w:val="0"/>
                <w:numId w:val="12"/>
              </w:numPr>
              <w:spacing w:before="120" w:after="120" w:line="240" w:lineRule="auto"/>
              <w:ind w:left="0" w:hanging="397"/>
              <w:contextualSpacing w:val="0"/>
              <w:rPr>
                <w:b w:val="0"/>
                <w:bCs w:val="0"/>
                <w:szCs w:val="24"/>
              </w:rPr>
            </w:pPr>
            <w:r>
              <w:rPr>
                <w:b w:val="0"/>
                <w:bCs w:val="0"/>
                <w:szCs w:val="24"/>
              </w:rPr>
              <w:t>Êtes-vous en mesure de livrer les biens ou les services demandés conformément au calendrier de livraison critique et au lieu spécifié dans la DS? Oui/Non</w:t>
            </w:r>
          </w:p>
          <w:p w14:paraId="73ABC4F5" w14:textId="77777777" w:rsidR="00D7654C" w:rsidRPr="000202DB" w:rsidRDefault="00D7654C" w:rsidP="00413F5E">
            <w:pPr>
              <w:pStyle w:val="ListParagraph"/>
              <w:numPr>
                <w:ilvl w:val="0"/>
                <w:numId w:val="12"/>
              </w:numPr>
              <w:spacing w:before="120" w:after="120" w:line="240" w:lineRule="auto"/>
              <w:ind w:left="0" w:hanging="397"/>
              <w:contextualSpacing w:val="0"/>
              <w:rPr>
                <w:b w:val="0"/>
                <w:bCs w:val="0"/>
                <w:szCs w:val="24"/>
              </w:rPr>
            </w:pPr>
            <w:r>
              <w:rPr>
                <w:b w:val="0"/>
                <w:bCs w:val="0"/>
                <w:szCs w:val="24"/>
              </w:rPr>
              <w:t xml:space="preserve">Fournir des détails sur la façon dont vous prévoyez de fournir les biens ou les services demandés conformément au calendrier de livraison critique et au lieu spécifié dans la DS? </w:t>
            </w:r>
          </w:p>
          <w:p w14:paraId="1FAFEC8F" w14:textId="77777777" w:rsidR="00D7654C" w:rsidRPr="000202DB" w:rsidRDefault="00D7654C" w:rsidP="00413F5E">
            <w:pPr>
              <w:pStyle w:val="ListParagraph"/>
              <w:numPr>
                <w:ilvl w:val="0"/>
                <w:numId w:val="12"/>
              </w:numPr>
              <w:spacing w:before="120" w:after="120" w:line="240" w:lineRule="auto"/>
              <w:ind w:left="0" w:hanging="397"/>
              <w:contextualSpacing w:val="0"/>
              <w:rPr>
                <w:b w:val="0"/>
                <w:bCs w:val="0"/>
                <w:szCs w:val="24"/>
              </w:rPr>
            </w:pPr>
            <w:r>
              <w:rPr>
                <w:b w:val="0"/>
                <w:bCs w:val="0"/>
                <w:szCs w:val="24"/>
              </w:rPr>
              <w:t>En cas d’urgence, pouvez-vous assurer un approvisionnement ininterrompu des biens demandés?</w:t>
            </w:r>
          </w:p>
          <w:p w14:paraId="714773E0" w14:textId="77777777" w:rsidR="00FB77DD" w:rsidRPr="000202DB" w:rsidRDefault="00D7654C" w:rsidP="00413F5E">
            <w:pPr>
              <w:pStyle w:val="ListParagraph"/>
              <w:numPr>
                <w:ilvl w:val="0"/>
                <w:numId w:val="12"/>
              </w:numPr>
              <w:spacing w:before="120" w:after="120" w:line="240" w:lineRule="auto"/>
              <w:ind w:left="0" w:hanging="397"/>
              <w:contextualSpacing w:val="0"/>
              <w:rPr>
                <w:rFonts w:eastAsia="Times New Roman" w:cs="Times New Roman"/>
                <w:b w:val="0"/>
                <w:bCs w:val="0"/>
                <w:szCs w:val="24"/>
              </w:rPr>
            </w:pPr>
            <w:r>
              <w:rPr>
                <w:b w:val="0"/>
                <w:bCs w:val="0"/>
                <w:szCs w:val="24"/>
              </w:rPr>
              <w:t xml:space="preserve">Votre organisation a-t-elle mis en œuvre des plans de continuité des activités et de reprise après sinistre pour maintenir ou </w:t>
            </w:r>
            <w:r>
              <w:rPr>
                <w:b w:val="0"/>
                <w:bCs w:val="0"/>
                <w:szCs w:val="24"/>
              </w:rPr>
              <w:lastRenderedPageBreak/>
              <w:t>reprendre rapidement toute livraison de biens ou de services que vous nous fournissez?</w:t>
            </w:r>
          </w:p>
          <w:p w14:paraId="14EA2CEE" w14:textId="6B0D1E11" w:rsidR="00D7654C" w:rsidRPr="000202DB" w:rsidRDefault="00D7654C" w:rsidP="00413F5E">
            <w:pPr>
              <w:pStyle w:val="ListParagraph"/>
              <w:numPr>
                <w:ilvl w:val="0"/>
                <w:numId w:val="12"/>
              </w:numPr>
              <w:spacing w:before="120" w:after="120" w:line="240" w:lineRule="auto"/>
              <w:ind w:left="0" w:hanging="397"/>
              <w:contextualSpacing w:val="0"/>
              <w:rPr>
                <w:rFonts w:eastAsia="Times New Roman" w:cs="Times New Roman"/>
                <w:b w:val="0"/>
                <w:bCs w:val="0"/>
                <w:szCs w:val="24"/>
              </w:rPr>
            </w:pPr>
            <w:r>
              <w:rPr>
                <w:b w:val="0"/>
                <w:bCs w:val="0"/>
                <w:szCs w:val="24"/>
              </w:rPr>
              <w:t>Existe-t-il des procédures garantissant que les dispositifs de gestion de la continuité des activités sont testés et révisés?</w:t>
            </w:r>
          </w:p>
        </w:tc>
        <w:tc>
          <w:tcPr>
            <w:tcW w:w="2274" w:type="pct"/>
          </w:tcPr>
          <w:p w14:paraId="2C1F3C85" w14:textId="512C2CFC" w:rsidR="00FB77DD" w:rsidRPr="000202DB" w:rsidRDefault="00FB77DD" w:rsidP="00413F5E">
            <w:pPr>
              <w:pStyle w:val="ListParagraph"/>
              <w:numPr>
                <w:ilvl w:val="0"/>
                <w:numId w:val="1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lastRenderedPageBreak/>
              <w:t xml:space="preserve">Les fournisseurs peuvent fournir rapidement les biens ou les services demandés. </w:t>
            </w:r>
          </w:p>
          <w:p w14:paraId="45617416" w14:textId="54E43280" w:rsidR="00FB77DD" w:rsidRPr="000202DB" w:rsidRDefault="00FB77DD" w:rsidP="00413F5E">
            <w:pPr>
              <w:pStyle w:val="ListParagraph"/>
              <w:numPr>
                <w:ilvl w:val="0"/>
                <w:numId w:val="1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est doté d’un plan, des capacités logistiques et d’une méthode de livraison pour assurer rapidement la fourniture des biens ou des services demandés.</w:t>
            </w:r>
          </w:p>
          <w:p w14:paraId="46AF4B8E" w14:textId="4BD48C40" w:rsidR="00FB77DD" w:rsidRPr="000202DB" w:rsidRDefault="00FB77DD" w:rsidP="00413F5E">
            <w:pPr>
              <w:pStyle w:val="ListParagraph"/>
              <w:numPr>
                <w:ilvl w:val="0"/>
                <w:numId w:val="1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dispose d’un plan de capacité logistique ou d’entreposage pour fournir un approvisionnement ininterrompu des biens demandés dans le contexte d’une situation d’urgence.</w:t>
            </w:r>
          </w:p>
          <w:p w14:paraId="4ACA7539" w14:textId="1EAB811E" w:rsidR="00FB77DD" w:rsidRPr="000202DB" w:rsidRDefault="00FB77DD" w:rsidP="00413F5E">
            <w:pPr>
              <w:pStyle w:val="ListParagraph"/>
              <w:numPr>
                <w:ilvl w:val="0"/>
                <w:numId w:val="1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lastRenderedPageBreak/>
              <w:t>Le fournisseur a mis en œuvre un plan de continuité des activités qui assurerait la fourniture ininterrompue des biens ou des services.</w:t>
            </w:r>
          </w:p>
          <w:p w14:paraId="76CA6FBD" w14:textId="313DCB37" w:rsidR="00D7654C" w:rsidRPr="000202DB" w:rsidRDefault="00FB77DD" w:rsidP="00413F5E">
            <w:pPr>
              <w:pStyle w:val="ListParagraph"/>
              <w:numPr>
                <w:ilvl w:val="0"/>
                <w:numId w:val="1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Les plans de continuité des activités du fournisseur ont été testés et ont fait leurs preuves.</w:t>
            </w:r>
          </w:p>
        </w:tc>
      </w:tr>
    </w:tbl>
    <w:p w14:paraId="222F5F8A" w14:textId="5E620236" w:rsidR="00566F28" w:rsidRPr="000202DB" w:rsidRDefault="00566F28" w:rsidP="00264B5C">
      <w:pPr>
        <w:spacing w:after="0" w:line="240" w:lineRule="auto"/>
        <w:rPr>
          <w:rFonts w:eastAsia="Times New Roman" w:cs="Times New Roman"/>
          <w:szCs w:val="24"/>
          <w:lang w:eastAsia="en-CA"/>
        </w:rPr>
      </w:pPr>
    </w:p>
    <w:p w14:paraId="6EEB928C" w14:textId="4FD038F1" w:rsidR="00D7654C" w:rsidRPr="000202DB" w:rsidRDefault="00566F28" w:rsidP="00264B5C">
      <w:pPr>
        <w:spacing w:before="0" w:line="259" w:lineRule="auto"/>
        <w:rPr>
          <w:rFonts w:eastAsia="Times New Roman" w:cs="Times New Roman"/>
          <w:szCs w:val="24"/>
        </w:rPr>
      </w:pPr>
      <w:r>
        <w:br w:type="page"/>
      </w:r>
    </w:p>
    <w:p w14:paraId="7B91E0B4" w14:textId="7617C477" w:rsidR="00CD1A04" w:rsidRPr="000202DB" w:rsidRDefault="00CD1A04" w:rsidP="0075412A">
      <w:pPr>
        <w:pStyle w:val="Heading3"/>
      </w:pPr>
      <w:bookmarkStart w:id="48" w:name="_Toc90037136"/>
      <w:r>
        <w:lastRenderedPageBreak/>
        <w:t>Réactivité de l’entreprise</w:t>
      </w:r>
      <w:bookmarkEnd w:id="48"/>
    </w:p>
    <w:p w14:paraId="26664A89" w14:textId="64E2A277" w:rsidR="00CD1A04" w:rsidRPr="000202DB" w:rsidRDefault="00CD1A04" w:rsidP="00945B30">
      <w:pPr>
        <w:spacing w:after="240" w:line="240" w:lineRule="auto"/>
        <w:rPr>
          <w:rFonts w:eastAsiaTheme="majorEastAsia" w:cstheme="majorBidi"/>
          <w:b/>
          <w:bCs/>
          <w:color w:val="006E81" w:themeColor="text2"/>
          <w:szCs w:val="24"/>
        </w:rPr>
      </w:pPr>
      <w:r>
        <w:rPr>
          <w:b/>
          <w:bCs/>
          <w:color w:val="006E81" w:themeColor="text2"/>
          <w:szCs w:val="24"/>
        </w:rPr>
        <w:t>Quand l’utiliser</w:t>
      </w:r>
    </w:p>
    <w:p w14:paraId="15E38EC0" w14:textId="77777777" w:rsidR="008D4CA0" w:rsidRPr="000202DB" w:rsidRDefault="001432ED" w:rsidP="00945B30">
      <w:pPr>
        <w:spacing w:after="240" w:line="240" w:lineRule="auto"/>
      </w:pPr>
      <w:r>
        <w:t xml:space="preserve">Lorsque les fournisseurs de biens et de services sont tenus de respecter un délai de réponse, d’exécution ou de résolution en personne sur place. </w:t>
      </w:r>
    </w:p>
    <w:p w14:paraId="20999153" w14:textId="05FD1CF2" w:rsidR="00D7654C" w:rsidRPr="000202DB" w:rsidRDefault="007F0DEA" w:rsidP="00264B5C">
      <w:pPr>
        <w:spacing w:after="240"/>
      </w:pPr>
      <w:r>
        <w:t>Voici des exemples de questions qui peuvent être incluses dans un document d’approvisionnement et de la façon dont les réponses peuvent être évaluées.</w:t>
      </w:r>
    </w:p>
    <w:tbl>
      <w:tblPr>
        <w:tblStyle w:val="GridTable4-Accent1"/>
        <w:tblW w:w="5000" w:type="pct"/>
        <w:tblLook w:val="04A0" w:firstRow="1" w:lastRow="0" w:firstColumn="1" w:lastColumn="0" w:noHBand="0" w:noVBand="1"/>
        <w:tblCaption w:val="Table 7: Business Responsiveness"/>
        <w:tblDescription w:val="Examples of sample questions"/>
      </w:tblPr>
      <w:tblGrid>
        <w:gridCol w:w="4675"/>
        <w:gridCol w:w="4675"/>
      </w:tblGrid>
      <w:tr w:rsidR="00943BFC" w:rsidRPr="000202DB" w14:paraId="0D2F59B7" w14:textId="77777777" w:rsidTr="0010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0A5CAF" w14:textId="77777777" w:rsidR="006844CE" w:rsidRPr="000202DB" w:rsidRDefault="006844CE" w:rsidP="00264B5C">
            <w:pPr>
              <w:spacing w:before="120" w:after="120" w:line="240" w:lineRule="auto"/>
              <w:jc w:val="center"/>
              <w:rPr>
                <w:rFonts w:eastAsia="Times New Roman" w:cs="Times New Roman"/>
                <w:b w:val="0"/>
                <w:bCs w:val="0"/>
                <w:szCs w:val="24"/>
              </w:rPr>
            </w:pPr>
            <w:r>
              <w:t>Exemples de questions</w:t>
            </w:r>
          </w:p>
        </w:tc>
        <w:tc>
          <w:tcPr>
            <w:tcW w:w="2500" w:type="pct"/>
          </w:tcPr>
          <w:p w14:paraId="75926B68" w14:textId="77777777" w:rsidR="006844CE" w:rsidRPr="000202DB" w:rsidRDefault="006844CE" w:rsidP="00264B5C">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t>Que faut-il évaluer?</w:t>
            </w:r>
          </w:p>
        </w:tc>
      </w:tr>
      <w:tr w:rsidR="006844CE" w:rsidRPr="000202DB" w14:paraId="01D034E5" w14:textId="77777777" w:rsidTr="0010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C6761C8" w14:textId="77777777" w:rsidR="006844CE" w:rsidRPr="000202DB" w:rsidRDefault="006844CE" w:rsidP="00413F5E">
            <w:pPr>
              <w:pStyle w:val="ListParagraph"/>
              <w:numPr>
                <w:ilvl w:val="0"/>
                <w:numId w:val="14"/>
              </w:numPr>
              <w:spacing w:before="120" w:after="120" w:line="240" w:lineRule="auto"/>
              <w:ind w:left="0" w:hanging="397"/>
              <w:contextualSpacing w:val="0"/>
              <w:rPr>
                <w:b w:val="0"/>
                <w:bCs w:val="0"/>
                <w:szCs w:val="24"/>
              </w:rPr>
            </w:pPr>
            <w:r>
              <w:rPr>
                <w:b w:val="0"/>
                <w:bCs w:val="0"/>
                <w:szCs w:val="24"/>
              </w:rPr>
              <w:t>Décrivez comment votre organisation peut assurer la livraison à temps.</w:t>
            </w:r>
          </w:p>
          <w:p w14:paraId="051F1378" w14:textId="77777777" w:rsidR="006844CE" w:rsidRPr="000202DB" w:rsidRDefault="006844CE" w:rsidP="00413F5E">
            <w:pPr>
              <w:pStyle w:val="ListParagraph"/>
              <w:numPr>
                <w:ilvl w:val="0"/>
                <w:numId w:val="14"/>
              </w:numPr>
              <w:spacing w:before="120" w:after="120" w:line="240" w:lineRule="auto"/>
              <w:ind w:left="0" w:hanging="397"/>
              <w:contextualSpacing w:val="0"/>
              <w:rPr>
                <w:b w:val="0"/>
                <w:bCs w:val="0"/>
                <w:szCs w:val="24"/>
              </w:rPr>
            </w:pPr>
            <w:r>
              <w:rPr>
                <w:b w:val="0"/>
                <w:bCs w:val="0"/>
                <w:szCs w:val="24"/>
              </w:rPr>
              <w:t>Décrivez comment votre organisation sera réactive et présente sur place conformément aux délais décrits dans la DS.</w:t>
            </w:r>
          </w:p>
          <w:p w14:paraId="5D42DB82" w14:textId="40B59122" w:rsidR="006844CE" w:rsidRPr="000202DB" w:rsidRDefault="006844CE" w:rsidP="00413F5E">
            <w:pPr>
              <w:pStyle w:val="ListParagraph"/>
              <w:numPr>
                <w:ilvl w:val="0"/>
                <w:numId w:val="14"/>
              </w:numPr>
              <w:spacing w:before="120" w:after="120" w:line="240" w:lineRule="auto"/>
              <w:ind w:left="0" w:hanging="397"/>
              <w:contextualSpacing w:val="0"/>
              <w:rPr>
                <w:rFonts w:eastAsia="Times New Roman" w:cs="Times New Roman"/>
                <w:b w:val="0"/>
                <w:bCs w:val="0"/>
                <w:szCs w:val="24"/>
              </w:rPr>
            </w:pPr>
            <w:r>
              <w:rPr>
                <w:b w:val="0"/>
                <w:bCs w:val="0"/>
                <w:szCs w:val="24"/>
              </w:rPr>
              <w:t>Décrivez comment votre organisation fournira des services sur place pour résoudre les problèmes de pannes techniques dans les XX heures suivant la réception d’une communication du ministère.</w:t>
            </w:r>
          </w:p>
        </w:tc>
        <w:tc>
          <w:tcPr>
            <w:tcW w:w="2500" w:type="pct"/>
          </w:tcPr>
          <w:p w14:paraId="57939664" w14:textId="7B3C92B2" w:rsidR="005E3A49" w:rsidRPr="000202DB" w:rsidRDefault="00816BF7" w:rsidP="00413F5E">
            <w:pPr>
              <w:pStyle w:val="ListParagraph"/>
              <w:numPr>
                <w:ilvl w:val="0"/>
                <w:numId w:val="15"/>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La capacité logistique du fournisseur à livrer les biens ou les services conformément aux exigences de la DS.</w:t>
            </w:r>
          </w:p>
          <w:p w14:paraId="7C5CF7B6" w14:textId="028D0A7A" w:rsidR="005E3A49" w:rsidRPr="000202DB" w:rsidRDefault="00816BF7" w:rsidP="00413F5E">
            <w:pPr>
              <w:pStyle w:val="ListParagraph"/>
              <w:numPr>
                <w:ilvl w:val="0"/>
                <w:numId w:val="15"/>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La capacité du fournisseur à déployer des ressources pour résoudre les problèmes sur place.</w:t>
            </w:r>
          </w:p>
          <w:p w14:paraId="08F9E938" w14:textId="1A5C824A" w:rsidR="005E3A49" w:rsidRPr="000202DB" w:rsidRDefault="005E3A49" w:rsidP="00413F5E">
            <w:pPr>
              <w:pStyle w:val="ListParagraph"/>
              <w:numPr>
                <w:ilvl w:val="0"/>
                <w:numId w:val="15"/>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a-t-il mis en œuvre un processus de résolution des conflits ou de remontée hiérarchique?</w:t>
            </w:r>
          </w:p>
          <w:p w14:paraId="67BE1248" w14:textId="109CF0C7" w:rsidR="006844CE" w:rsidRPr="000202DB" w:rsidRDefault="006844CE" w:rsidP="00264B5C">
            <w:pPr>
              <w:pStyle w:val="ListParagraph"/>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pPr>
          </w:p>
        </w:tc>
      </w:tr>
    </w:tbl>
    <w:p w14:paraId="05B572B3" w14:textId="24ECD582" w:rsidR="00CD1A04" w:rsidRPr="00DA09B7" w:rsidRDefault="00CD1A04" w:rsidP="0075412A">
      <w:pPr>
        <w:pStyle w:val="Heading3"/>
      </w:pPr>
      <w:bookmarkStart w:id="49" w:name="_Toc90037137"/>
      <w:r>
        <w:t>Connaissances locales</w:t>
      </w:r>
      <w:bookmarkEnd w:id="49"/>
    </w:p>
    <w:p w14:paraId="1CFDFDB1" w14:textId="0329FF48" w:rsidR="00CD1A04" w:rsidRPr="000202DB" w:rsidRDefault="00CD1A04" w:rsidP="00945B30">
      <w:pPr>
        <w:spacing w:after="240" w:line="240" w:lineRule="auto"/>
        <w:rPr>
          <w:rFonts w:eastAsia="Times New Roman" w:cs="Times New Roman"/>
          <w:color w:val="006E81" w:themeColor="text2"/>
          <w:szCs w:val="24"/>
        </w:rPr>
      </w:pPr>
      <w:r>
        <w:rPr>
          <w:b/>
          <w:bCs/>
          <w:color w:val="006E81" w:themeColor="text2"/>
          <w:szCs w:val="24"/>
        </w:rPr>
        <w:t>Quand l’utiliser</w:t>
      </w:r>
    </w:p>
    <w:p w14:paraId="56FA3FC6" w14:textId="77866CA5" w:rsidR="00CD1A04" w:rsidRPr="000202DB" w:rsidRDefault="00191608" w:rsidP="00945B30">
      <w:pPr>
        <w:spacing w:after="240" w:line="240" w:lineRule="auto"/>
      </w:pPr>
      <w:r>
        <w:t xml:space="preserve">Lorsque les connaissances ou l’expérience propres à l’Ontario d’un fournisseur sont pertinentes pour les éléments et la réalisation réussie du projet. Il s’agit notamment de la compréhension par le vendeur du contexte local, y compris des questions telles que la politique, la réglementation, la législation et/ou les relations avec les parties prenantes, qui peuvent avoir une incidence sur la prestation de services et la réalisation effective d’un projet. </w:t>
      </w:r>
    </w:p>
    <w:p w14:paraId="42817DA0" w14:textId="11AF3E75" w:rsidR="00E2470D" w:rsidRPr="000202DB" w:rsidRDefault="000B4373" w:rsidP="00264B5C">
      <w:pPr>
        <w:spacing w:after="240"/>
      </w:pPr>
      <w:r>
        <w:t xml:space="preserve">Par exemple, lors de la construction d’un bâtiment, un fournisseur devrait être en mesure de démontrer une compréhension des exigences en matière de permis, des </w:t>
      </w:r>
      <w:r>
        <w:lastRenderedPageBreak/>
        <w:t>services publics, des codes du bâtiment, des exigences en matière de santé et de sécurité et des métiers spécialisés, qui sont tous essentiels à la réalisation concrète du projet.</w:t>
      </w:r>
    </w:p>
    <w:p w14:paraId="726BB86E" w14:textId="1CD7F649" w:rsidR="00B47B2F" w:rsidRPr="000202DB" w:rsidRDefault="00E2470D" w:rsidP="00264B5C">
      <w:pPr>
        <w:spacing w:after="240"/>
      </w:pPr>
      <w:r>
        <w:t>Voici des exemples de questions qui peuvent être incluses dans un document d’approvisionnement et de la façon dont les réponses peuvent être évaluées.</w:t>
      </w:r>
    </w:p>
    <w:tbl>
      <w:tblPr>
        <w:tblStyle w:val="GridTable4-Accent1"/>
        <w:tblW w:w="5000" w:type="pct"/>
        <w:tblLook w:val="04A0" w:firstRow="1" w:lastRow="0" w:firstColumn="1" w:lastColumn="0" w:noHBand="0" w:noVBand="1"/>
        <w:tblCaption w:val="Table 8: Local Knowledge"/>
        <w:tblDescription w:val="Examples of sample questions"/>
      </w:tblPr>
      <w:tblGrid>
        <w:gridCol w:w="4675"/>
        <w:gridCol w:w="4675"/>
      </w:tblGrid>
      <w:tr w:rsidR="00D51BE0" w:rsidRPr="000202DB" w14:paraId="07F78773" w14:textId="77777777" w:rsidTr="0010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43E5B8F" w14:textId="77777777" w:rsidR="006E1E5B" w:rsidRPr="000202DB" w:rsidRDefault="006E1E5B" w:rsidP="00264B5C">
            <w:pPr>
              <w:spacing w:before="120" w:after="120" w:line="240" w:lineRule="auto"/>
              <w:jc w:val="center"/>
              <w:rPr>
                <w:rFonts w:eastAsia="Times New Roman" w:cs="Times New Roman"/>
                <w:b w:val="0"/>
                <w:bCs w:val="0"/>
                <w:szCs w:val="24"/>
              </w:rPr>
            </w:pPr>
            <w:r>
              <w:t>Exemples de questions</w:t>
            </w:r>
          </w:p>
        </w:tc>
        <w:tc>
          <w:tcPr>
            <w:tcW w:w="2500" w:type="pct"/>
          </w:tcPr>
          <w:p w14:paraId="674B1F30" w14:textId="77777777" w:rsidR="006E1E5B" w:rsidRPr="000202DB" w:rsidRDefault="006E1E5B" w:rsidP="00264B5C">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t>Que faut-il évaluer?</w:t>
            </w:r>
          </w:p>
        </w:tc>
      </w:tr>
      <w:tr w:rsidR="006E1E5B" w:rsidRPr="000202DB" w14:paraId="121D71A5" w14:textId="77777777" w:rsidTr="0010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B18E082" w14:textId="77777777" w:rsidR="00FF13C7" w:rsidRPr="000202DB" w:rsidRDefault="00FF13C7" w:rsidP="00413F5E">
            <w:pPr>
              <w:pStyle w:val="ListParagraph"/>
              <w:numPr>
                <w:ilvl w:val="0"/>
                <w:numId w:val="16"/>
              </w:numPr>
              <w:spacing w:before="120" w:after="120" w:line="240" w:lineRule="auto"/>
              <w:ind w:left="0" w:hanging="397"/>
              <w:contextualSpacing w:val="0"/>
              <w:rPr>
                <w:rFonts w:eastAsia="Times New Roman" w:cs="Times New Roman"/>
                <w:b w:val="0"/>
                <w:bCs w:val="0"/>
                <w:szCs w:val="24"/>
              </w:rPr>
            </w:pPr>
            <w:r>
              <w:rPr>
                <w:b w:val="0"/>
                <w:bCs w:val="0"/>
                <w:szCs w:val="24"/>
              </w:rPr>
              <w:t>Décrivez votre expérience relativement aux exigences climatiques et environnementales en Ontario et au Canada.</w:t>
            </w:r>
          </w:p>
          <w:p w14:paraId="4469ACAC" w14:textId="77777777" w:rsidR="00FF13C7" w:rsidRPr="000202DB" w:rsidRDefault="00FF13C7" w:rsidP="00413F5E">
            <w:pPr>
              <w:pStyle w:val="ListParagraph"/>
              <w:numPr>
                <w:ilvl w:val="0"/>
                <w:numId w:val="16"/>
              </w:numPr>
              <w:spacing w:before="120" w:after="120" w:line="240" w:lineRule="auto"/>
              <w:ind w:left="0" w:hanging="397"/>
              <w:contextualSpacing w:val="0"/>
              <w:rPr>
                <w:rFonts w:eastAsia="Times New Roman" w:cs="Times New Roman"/>
                <w:b w:val="0"/>
                <w:bCs w:val="0"/>
                <w:szCs w:val="24"/>
              </w:rPr>
            </w:pPr>
            <w:r>
              <w:rPr>
                <w:b w:val="0"/>
                <w:bCs w:val="0"/>
                <w:szCs w:val="24"/>
              </w:rPr>
              <w:t>Quelles exigences réglementaires, réglementaires et de délivrance de permis auront une incidence sur ce projet?</w:t>
            </w:r>
          </w:p>
          <w:p w14:paraId="25122D56" w14:textId="77777777" w:rsidR="00FF13C7" w:rsidRPr="000202DB" w:rsidRDefault="00FF13C7" w:rsidP="00413F5E">
            <w:pPr>
              <w:pStyle w:val="ListParagraph"/>
              <w:numPr>
                <w:ilvl w:val="0"/>
                <w:numId w:val="16"/>
              </w:numPr>
              <w:spacing w:before="120" w:after="120" w:line="240" w:lineRule="auto"/>
              <w:ind w:left="0" w:hanging="397"/>
              <w:contextualSpacing w:val="0"/>
              <w:rPr>
                <w:rFonts w:eastAsia="Times New Roman" w:cs="Times New Roman"/>
                <w:b w:val="0"/>
                <w:bCs w:val="0"/>
                <w:szCs w:val="24"/>
              </w:rPr>
            </w:pPr>
            <w:r>
              <w:rPr>
                <w:b w:val="0"/>
                <w:bCs w:val="0"/>
                <w:szCs w:val="24"/>
              </w:rPr>
              <w:t>Décrivez les codes du travail, les règlements en matière d’indemnisation des accidentés du travail, et de sécurité de votre organisation.</w:t>
            </w:r>
          </w:p>
          <w:p w14:paraId="4561F078" w14:textId="77777777" w:rsidR="00FF13C7" w:rsidRPr="000202DB" w:rsidRDefault="00FF13C7" w:rsidP="00413F5E">
            <w:pPr>
              <w:pStyle w:val="ListParagraph"/>
              <w:numPr>
                <w:ilvl w:val="0"/>
                <w:numId w:val="16"/>
              </w:numPr>
              <w:spacing w:before="120" w:after="120" w:line="240" w:lineRule="auto"/>
              <w:ind w:left="0" w:hanging="397"/>
              <w:contextualSpacing w:val="0"/>
              <w:rPr>
                <w:rFonts w:eastAsia="Times New Roman" w:cs="Times New Roman"/>
                <w:b w:val="0"/>
                <w:bCs w:val="0"/>
                <w:szCs w:val="24"/>
              </w:rPr>
            </w:pPr>
            <w:r>
              <w:rPr>
                <w:b w:val="0"/>
                <w:bCs w:val="0"/>
                <w:szCs w:val="24"/>
              </w:rPr>
              <w:t>Décrivez les codes du bâtiment et tous les codes locaux applicables selon l’exigence de cet approvisionnement.</w:t>
            </w:r>
          </w:p>
          <w:p w14:paraId="497FAF5D" w14:textId="5952F639" w:rsidR="006E1E5B" w:rsidRPr="000202DB" w:rsidRDefault="00FF13C7" w:rsidP="00413F5E">
            <w:pPr>
              <w:pStyle w:val="ListParagraph"/>
              <w:numPr>
                <w:ilvl w:val="0"/>
                <w:numId w:val="16"/>
              </w:numPr>
              <w:spacing w:before="120" w:after="120" w:line="240" w:lineRule="auto"/>
              <w:ind w:left="0" w:hanging="397"/>
              <w:contextualSpacing w:val="0"/>
              <w:rPr>
                <w:rFonts w:eastAsia="Times New Roman" w:cs="Times New Roman"/>
                <w:b w:val="0"/>
                <w:bCs w:val="0"/>
                <w:szCs w:val="24"/>
              </w:rPr>
            </w:pPr>
            <w:r>
              <w:rPr>
                <w:b w:val="0"/>
                <w:bCs w:val="0"/>
                <w:szCs w:val="24"/>
              </w:rPr>
              <w:t>Fournissez une preuve de conformité aux exigences de licence professionnelle de l’Ontario ou une preuve équivalente.</w:t>
            </w:r>
          </w:p>
        </w:tc>
        <w:tc>
          <w:tcPr>
            <w:tcW w:w="2500" w:type="pct"/>
          </w:tcPr>
          <w:p w14:paraId="335053DB" w14:textId="667E34D5" w:rsidR="00393CA0" w:rsidRPr="000202DB" w:rsidRDefault="00393CA0" w:rsidP="00413F5E">
            <w:pPr>
              <w:pStyle w:val="ListParagraph"/>
              <w:numPr>
                <w:ilvl w:val="0"/>
                <w:numId w:val="17"/>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La connaissance des lois et des exigences environnementales de l’Ontario par le fournisseur.</w:t>
            </w:r>
          </w:p>
          <w:p w14:paraId="2BADD5C5" w14:textId="1B8D319D" w:rsidR="00393CA0" w:rsidRPr="000202DB" w:rsidRDefault="00393CA0" w:rsidP="00413F5E">
            <w:pPr>
              <w:pStyle w:val="ListParagraph"/>
              <w:numPr>
                <w:ilvl w:val="0"/>
                <w:numId w:val="17"/>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La compréhension par le fournisseur des lois de l’Ontario requises dans la réalisation de l’approvisionnement.</w:t>
            </w:r>
          </w:p>
          <w:p w14:paraId="46EEBEE8" w14:textId="3789DA6B" w:rsidR="00393CA0" w:rsidRPr="000202DB" w:rsidRDefault="00393CA0" w:rsidP="00413F5E">
            <w:pPr>
              <w:pStyle w:val="ListParagraph"/>
              <w:numPr>
                <w:ilvl w:val="0"/>
                <w:numId w:val="17"/>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a démontré que ses codes du travail, ses règlements en matière d’indemnisation des accidentés du travail et de sécurité répondent aux normes de l’Ontario.</w:t>
            </w:r>
          </w:p>
          <w:p w14:paraId="501EAA0A" w14:textId="4AF15C95" w:rsidR="00393CA0" w:rsidRPr="000202DB" w:rsidRDefault="00393CA0" w:rsidP="00413F5E">
            <w:pPr>
              <w:pStyle w:val="ListParagraph"/>
              <w:numPr>
                <w:ilvl w:val="0"/>
                <w:numId w:val="17"/>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La compréhension par le fournisseur des codes du bâtiment de l’Ontario.</w:t>
            </w:r>
          </w:p>
          <w:p w14:paraId="79A38B21" w14:textId="0D747366" w:rsidR="006E1E5B" w:rsidRPr="000202DB" w:rsidRDefault="00393CA0" w:rsidP="00413F5E">
            <w:pPr>
              <w:pStyle w:val="ListParagraph"/>
              <w:numPr>
                <w:ilvl w:val="0"/>
                <w:numId w:val="17"/>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possède la certification ou le permis requis pour fournir les services requis.</w:t>
            </w:r>
          </w:p>
        </w:tc>
      </w:tr>
    </w:tbl>
    <w:p w14:paraId="5DCB1B18" w14:textId="77777777" w:rsidR="00566F28" w:rsidRPr="000202DB" w:rsidRDefault="00566F28" w:rsidP="00264B5C">
      <w:bookmarkStart w:id="50" w:name="_Toc90037138"/>
      <w:r>
        <w:br w:type="page"/>
      </w:r>
    </w:p>
    <w:p w14:paraId="258C6CB6" w14:textId="7E0A2995" w:rsidR="00CD1A04" w:rsidRPr="000202DB" w:rsidRDefault="00464908" w:rsidP="0075412A">
      <w:pPr>
        <w:pStyle w:val="Heading3"/>
      </w:pPr>
      <w:r>
        <w:lastRenderedPageBreak/>
        <w:t>Environnement et durabilité</w:t>
      </w:r>
      <w:bookmarkEnd w:id="50"/>
      <w:r>
        <w:t xml:space="preserve"> </w:t>
      </w:r>
    </w:p>
    <w:p w14:paraId="17333A8A" w14:textId="6CE2466E" w:rsidR="00CD1A04" w:rsidRDefault="00CD1A04" w:rsidP="00945B30">
      <w:pPr>
        <w:spacing w:after="240" w:line="240" w:lineRule="auto"/>
        <w:contextualSpacing/>
        <w:rPr>
          <w:rFonts w:eastAsiaTheme="majorEastAsia" w:cstheme="majorBidi"/>
          <w:b/>
          <w:bCs/>
          <w:color w:val="006E81" w:themeColor="text2"/>
          <w:szCs w:val="24"/>
        </w:rPr>
      </w:pPr>
      <w:r>
        <w:rPr>
          <w:b/>
          <w:bCs/>
          <w:color w:val="006E81" w:themeColor="text2"/>
          <w:szCs w:val="24"/>
        </w:rPr>
        <w:t>Quand l’utiliser</w:t>
      </w:r>
    </w:p>
    <w:p w14:paraId="1FF98D8C" w14:textId="77777777" w:rsidR="00945B30" w:rsidRPr="000202DB" w:rsidRDefault="00945B30" w:rsidP="00945B30">
      <w:pPr>
        <w:spacing w:after="240" w:line="240" w:lineRule="auto"/>
        <w:contextualSpacing/>
        <w:rPr>
          <w:rFonts w:eastAsia="Times New Roman" w:cs="Times New Roman"/>
          <w:color w:val="006E81" w:themeColor="text2"/>
          <w:szCs w:val="24"/>
          <w:lang w:eastAsia="en-CA"/>
        </w:rPr>
      </w:pPr>
    </w:p>
    <w:p w14:paraId="2359915B" w14:textId="5EA64A84" w:rsidR="00CD1A04" w:rsidRPr="000202DB" w:rsidRDefault="004E7F01" w:rsidP="00945B30">
      <w:pPr>
        <w:spacing w:after="240" w:line="240" w:lineRule="auto"/>
      </w:pPr>
      <w:r>
        <w:t>Lorsque les biens et les services sont touchés par des considérations environnementales existantes en Ontario ou au Canada. Les fournisseurs devraient démontrer comment ils respectent ou dépassent les lois environnementales de l’Ontario où le bien ou le service est produit.</w:t>
      </w:r>
    </w:p>
    <w:p w14:paraId="2C69AF55" w14:textId="0FAB4E32" w:rsidR="003E1160" w:rsidRPr="000202DB" w:rsidRDefault="00CD1A04" w:rsidP="00264B5C">
      <w:pPr>
        <w:spacing w:after="240"/>
      </w:pPr>
      <w:r>
        <w:t>Voici des exemples de questions qui peuvent être incluses dans un document d’approvisionnement et de la façon dont les réponses peuvent être évaluées.</w:t>
      </w:r>
    </w:p>
    <w:tbl>
      <w:tblPr>
        <w:tblStyle w:val="GridTable4-Accent1"/>
        <w:tblW w:w="5000" w:type="pct"/>
        <w:tblLook w:val="04A0" w:firstRow="1" w:lastRow="0" w:firstColumn="1" w:lastColumn="0" w:noHBand="0" w:noVBand="1"/>
        <w:tblCaption w:val="Table 9: Environmental and Sustainability"/>
        <w:tblDescription w:val="Examples of sample questions"/>
      </w:tblPr>
      <w:tblGrid>
        <w:gridCol w:w="4675"/>
        <w:gridCol w:w="4675"/>
      </w:tblGrid>
      <w:tr w:rsidR="00943BFC" w:rsidRPr="000202DB" w14:paraId="5BDF2581"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10F62FF" w14:textId="77777777" w:rsidR="003E1160" w:rsidRPr="000202DB" w:rsidRDefault="003E1160" w:rsidP="00264B5C">
            <w:pPr>
              <w:spacing w:before="120" w:after="120" w:line="240" w:lineRule="auto"/>
              <w:ind w:hanging="397"/>
              <w:jc w:val="center"/>
              <w:rPr>
                <w:rFonts w:eastAsia="Times New Roman" w:cs="Times New Roman"/>
                <w:b w:val="0"/>
                <w:bCs w:val="0"/>
                <w:szCs w:val="24"/>
              </w:rPr>
            </w:pPr>
            <w:r>
              <w:t>Exemples de questions</w:t>
            </w:r>
          </w:p>
        </w:tc>
        <w:tc>
          <w:tcPr>
            <w:tcW w:w="2500" w:type="pct"/>
          </w:tcPr>
          <w:p w14:paraId="4655926C" w14:textId="77777777" w:rsidR="003E1160" w:rsidRPr="000202DB" w:rsidRDefault="003E1160"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t>Que faut-il évaluer?</w:t>
            </w:r>
          </w:p>
        </w:tc>
      </w:tr>
      <w:tr w:rsidR="003E1160" w:rsidRPr="000202DB" w14:paraId="1A6E50E2"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25BD0D" w14:textId="77777777" w:rsidR="0017617F" w:rsidRPr="000202DB" w:rsidRDefault="0017617F" w:rsidP="00413F5E">
            <w:pPr>
              <w:pStyle w:val="ListParagraph"/>
              <w:numPr>
                <w:ilvl w:val="0"/>
                <w:numId w:val="18"/>
              </w:numPr>
              <w:spacing w:before="120" w:after="120" w:line="240" w:lineRule="auto"/>
              <w:ind w:left="0" w:hanging="397"/>
              <w:contextualSpacing w:val="0"/>
              <w:rPr>
                <w:rFonts w:eastAsia="Times New Roman" w:cs="Times New Roman"/>
                <w:b w:val="0"/>
                <w:bCs w:val="0"/>
                <w:szCs w:val="24"/>
              </w:rPr>
            </w:pPr>
            <w:r>
              <w:rPr>
                <w:b w:val="0"/>
                <w:bCs w:val="0"/>
                <w:szCs w:val="24"/>
              </w:rPr>
              <w:t>Fournissez la politique environnementale écrite de votre organisation.</w:t>
            </w:r>
          </w:p>
          <w:p w14:paraId="39D28D04" w14:textId="77777777" w:rsidR="0017617F" w:rsidRPr="000202DB" w:rsidRDefault="0017617F" w:rsidP="00413F5E">
            <w:pPr>
              <w:pStyle w:val="ListParagraph"/>
              <w:numPr>
                <w:ilvl w:val="0"/>
                <w:numId w:val="18"/>
              </w:numPr>
              <w:spacing w:before="120" w:after="120" w:line="240" w:lineRule="auto"/>
              <w:ind w:left="0" w:hanging="397"/>
              <w:contextualSpacing w:val="0"/>
              <w:rPr>
                <w:rFonts w:eastAsia="Times New Roman" w:cs="Times New Roman"/>
                <w:b w:val="0"/>
                <w:bCs w:val="0"/>
                <w:szCs w:val="24"/>
              </w:rPr>
            </w:pPr>
            <w:r>
              <w:rPr>
                <w:b w:val="0"/>
                <w:bCs w:val="0"/>
                <w:szCs w:val="24"/>
              </w:rPr>
              <w:t>Fournissez la preuve de la conformité aux exigences environnementales de l’Ontario (recyclage, gestion des déchets, etc.).</w:t>
            </w:r>
          </w:p>
          <w:p w14:paraId="5D789E81" w14:textId="77777777" w:rsidR="0017617F" w:rsidRPr="000202DB" w:rsidRDefault="0017617F" w:rsidP="00413F5E">
            <w:pPr>
              <w:pStyle w:val="ListParagraph"/>
              <w:numPr>
                <w:ilvl w:val="0"/>
                <w:numId w:val="18"/>
              </w:numPr>
              <w:spacing w:before="120" w:after="120" w:line="240" w:lineRule="auto"/>
              <w:ind w:left="0" w:hanging="397"/>
              <w:contextualSpacing w:val="0"/>
              <w:rPr>
                <w:rFonts w:eastAsia="Times New Roman" w:cs="Times New Roman"/>
                <w:b w:val="0"/>
                <w:bCs w:val="0"/>
                <w:szCs w:val="24"/>
              </w:rPr>
            </w:pPr>
            <w:r>
              <w:rPr>
                <w:b w:val="0"/>
                <w:bCs w:val="0"/>
                <w:szCs w:val="24"/>
              </w:rPr>
              <w:t>Fournissez un rapport indépendant sur votre rendement environnemental.</w:t>
            </w:r>
          </w:p>
          <w:p w14:paraId="7765A2B6" w14:textId="77777777" w:rsidR="0017617F" w:rsidRPr="000202DB" w:rsidRDefault="0017617F" w:rsidP="00413F5E">
            <w:pPr>
              <w:pStyle w:val="ListParagraph"/>
              <w:numPr>
                <w:ilvl w:val="0"/>
                <w:numId w:val="18"/>
              </w:numPr>
              <w:spacing w:before="120" w:after="120" w:line="240" w:lineRule="auto"/>
              <w:ind w:left="0" w:hanging="397"/>
              <w:contextualSpacing w:val="0"/>
              <w:rPr>
                <w:rFonts w:eastAsia="Times New Roman" w:cs="Times New Roman"/>
                <w:b w:val="0"/>
                <w:bCs w:val="0"/>
                <w:szCs w:val="24"/>
              </w:rPr>
            </w:pPr>
            <w:r>
              <w:rPr>
                <w:b w:val="0"/>
                <w:bCs w:val="0"/>
                <w:szCs w:val="24"/>
              </w:rPr>
              <w:t>Votre entreprise est-elle certifiée ISO 140001 (la norme internationale qui spécifie les exigences d’un système de management environnemental efficace) ou une certification équivalente?</w:t>
            </w:r>
          </w:p>
          <w:p w14:paraId="112016E2" w14:textId="77777777" w:rsidR="0017617F" w:rsidRPr="000202DB" w:rsidRDefault="0017617F" w:rsidP="00413F5E">
            <w:pPr>
              <w:pStyle w:val="ListParagraph"/>
              <w:numPr>
                <w:ilvl w:val="0"/>
                <w:numId w:val="18"/>
              </w:numPr>
              <w:spacing w:before="120" w:after="120" w:line="240" w:lineRule="auto"/>
              <w:ind w:left="0" w:hanging="397"/>
              <w:contextualSpacing w:val="0"/>
              <w:rPr>
                <w:rFonts w:eastAsia="Times New Roman" w:cs="Times New Roman"/>
                <w:b w:val="0"/>
                <w:bCs w:val="0"/>
                <w:szCs w:val="24"/>
              </w:rPr>
            </w:pPr>
            <w:r>
              <w:rPr>
                <w:b w:val="0"/>
                <w:bCs w:val="0"/>
                <w:szCs w:val="24"/>
              </w:rPr>
              <w:t>Votre produit est-il fabriqué à partir de ressources renouvelables?</w:t>
            </w:r>
          </w:p>
          <w:p w14:paraId="0F31940A" w14:textId="171A8BD5" w:rsidR="003E1160" w:rsidRPr="000202DB" w:rsidRDefault="0017617F" w:rsidP="00413F5E">
            <w:pPr>
              <w:pStyle w:val="ListParagraph"/>
              <w:numPr>
                <w:ilvl w:val="0"/>
                <w:numId w:val="18"/>
              </w:numPr>
              <w:spacing w:before="120" w:after="120" w:line="240" w:lineRule="auto"/>
              <w:ind w:left="0" w:hanging="397"/>
              <w:contextualSpacing w:val="0"/>
              <w:rPr>
                <w:rFonts w:eastAsia="Times New Roman" w:cs="Times New Roman"/>
                <w:b w:val="0"/>
                <w:bCs w:val="0"/>
                <w:szCs w:val="24"/>
              </w:rPr>
            </w:pPr>
            <w:r>
              <w:rPr>
                <w:b w:val="0"/>
                <w:bCs w:val="0"/>
                <w:szCs w:val="24"/>
              </w:rPr>
              <w:t>Décrivez la politique de gestion des déchets de votre organisation.</w:t>
            </w:r>
          </w:p>
        </w:tc>
        <w:tc>
          <w:tcPr>
            <w:tcW w:w="2500" w:type="pct"/>
          </w:tcPr>
          <w:p w14:paraId="78020C08" w14:textId="59F3F182" w:rsidR="00160652" w:rsidRPr="000202DB" w:rsidRDefault="00160652" w:rsidP="00413F5E">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est doté d’une politique environnementale.</w:t>
            </w:r>
          </w:p>
          <w:p w14:paraId="01949362" w14:textId="0BD89B3E" w:rsidR="00160652" w:rsidRPr="000202DB" w:rsidRDefault="00160652" w:rsidP="00413F5E">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se conforme aux exigences environnementales de l’Ontario.</w:t>
            </w:r>
          </w:p>
          <w:p w14:paraId="3BE6CF79" w14:textId="6F215F58" w:rsidR="00160652" w:rsidRPr="000202DB" w:rsidRDefault="00160652" w:rsidP="00413F5E">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se conforme aux exigences environnementales existantes de l’Ontario (p. ex., élimination des matières dangereuses).</w:t>
            </w:r>
          </w:p>
          <w:p w14:paraId="20B229A1" w14:textId="1B8B8C8E" w:rsidR="00160652" w:rsidRPr="000202DB" w:rsidRDefault="00160652" w:rsidP="00413F5E">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dispose d’un système de gestion environnementale certifié ISO 140001 ou selon une autre certification reconnue.</w:t>
            </w:r>
          </w:p>
          <w:p w14:paraId="6DF3CE2B" w14:textId="77441983" w:rsidR="00160652" w:rsidRPr="000202DB" w:rsidRDefault="00160652" w:rsidP="00413F5E">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Les produits du vendeur sont fabriqués à l’aide de ressources durables ou renouvelables.</w:t>
            </w:r>
          </w:p>
          <w:p w14:paraId="52DD9A1E" w14:textId="10E40B11" w:rsidR="003E1160" w:rsidRPr="000202DB" w:rsidRDefault="00160652" w:rsidP="00413F5E">
            <w:pPr>
              <w:pStyle w:val="ListParagraph"/>
              <w:numPr>
                <w:ilvl w:val="0"/>
                <w:numId w:val="19"/>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La politique de gestion des déchets du fournisseur répond aux exigences de la politique de gestion des déchets de l’Ontario et du Canada.</w:t>
            </w:r>
          </w:p>
        </w:tc>
      </w:tr>
    </w:tbl>
    <w:p w14:paraId="6EC7D907" w14:textId="6F350015" w:rsidR="00CD1A04" w:rsidRPr="000202DB" w:rsidRDefault="00CD1A04" w:rsidP="00264B5C">
      <w:pPr>
        <w:spacing w:before="0" w:line="259" w:lineRule="auto"/>
        <w:rPr>
          <w:rFonts w:eastAsia="Times New Roman" w:cs="Times New Roman"/>
          <w:szCs w:val="24"/>
          <w:lang w:eastAsia="en-CA"/>
        </w:rPr>
      </w:pPr>
    </w:p>
    <w:p w14:paraId="40595AC2" w14:textId="1972D1D3" w:rsidR="00CD1A04" w:rsidRPr="000202DB" w:rsidRDefault="00464908" w:rsidP="0075412A">
      <w:pPr>
        <w:pStyle w:val="Heading3"/>
      </w:pPr>
      <w:bookmarkStart w:id="51" w:name="_Toc90037139"/>
      <w:r>
        <w:lastRenderedPageBreak/>
        <w:t>Usage de ressources ou matériaux locaux</w:t>
      </w:r>
      <w:bookmarkEnd w:id="51"/>
      <w:r>
        <w:t xml:space="preserve"> </w:t>
      </w:r>
    </w:p>
    <w:p w14:paraId="3EFB9B52" w14:textId="06EB958F" w:rsidR="00CD1A04" w:rsidRPr="000202DB" w:rsidRDefault="00CD1A04" w:rsidP="0024562E">
      <w:pPr>
        <w:spacing w:after="240" w:line="240" w:lineRule="auto"/>
        <w:rPr>
          <w:rFonts w:eastAsia="Times New Roman" w:cs="Times New Roman"/>
          <w:color w:val="006E81" w:themeColor="text2"/>
          <w:szCs w:val="24"/>
        </w:rPr>
      </w:pPr>
      <w:r>
        <w:rPr>
          <w:b/>
          <w:bCs/>
          <w:color w:val="006E81" w:themeColor="text2"/>
          <w:szCs w:val="24"/>
        </w:rPr>
        <w:t>Quand l’utiliser</w:t>
      </w:r>
    </w:p>
    <w:p w14:paraId="55826045" w14:textId="3A3E2415" w:rsidR="00CD1A04" w:rsidRPr="000202DB" w:rsidRDefault="00E43837" w:rsidP="0024562E">
      <w:pPr>
        <w:spacing w:after="240" w:line="240" w:lineRule="auto"/>
      </w:pPr>
      <w:r>
        <w:t>Lorsque les achats de biens et de services peuvent exiger que les fournisseurs utilisent des matériaux locaux de l’Ontario ou du Canada pour des biens ou des ressources, ce qui peut contribuer à la création d’emplois potentiels, au développement des petites entreprises et à la revitalisation de la communauté.</w:t>
      </w:r>
    </w:p>
    <w:p w14:paraId="678C828D" w14:textId="796EB4EA" w:rsidR="00257B37" w:rsidRPr="000202DB" w:rsidRDefault="7A162103" w:rsidP="00264B5C">
      <w:pPr>
        <w:spacing w:after="240"/>
      </w:pPr>
      <w:r>
        <w:t>Voici des exemples de questions qui peuvent être incluses dans un document d’approvisionnement et de la façon dont les réponses peuvent être évaluées.</w:t>
      </w:r>
    </w:p>
    <w:tbl>
      <w:tblPr>
        <w:tblStyle w:val="GridTable4-Accent1"/>
        <w:tblW w:w="5000" w:type="pct"/>
        <w:tblLook w:val="04A0" w:firstRow="1" w:lastRow="0" w:firstColumn="1" w:lastColumn="0" w:noHBand="0" w:noVBand="1"/>
        <w:tblCaption w:val="Table 10: Local Material/Content"/>
        <w:tblDescription w:val="Examples of sample questions"/>
      </w:tblPr>
      <w:tblGrid>
        <w:gridCol w:w="5098"/>
        <w:gridCol w:w="4252"/>
      </w:tblGrid>
      <w:tr w:rsidR="00943BFC" w:rsidRPr="000202DB" w14:paraId="5C295B5A"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pct"/>
          </w:tcPr>
          <w:p w14:paraId="7EA7360E" w14:textId="77777777" w:rsidR="00257B37" w:rsidRPr="000202DB" w:rsidRDefault="00257B37" w:rsidP="00264B5C">
            <w:pPr>
              <w:spacing w:before="120" w:after="120" w:line="240" w:lineRule="auto"/>
              <w:ind w:hanging="397"/>
              <w:jc w:val="center"/>
              <w:rPr>
                <w:rFonts w:eastAsia="Times New Roman" w:cs="Times New Roman"/>
                <w:b w:val="0"/>
                <w:bCs w:val="0"/>
                <w:szCs w:val="24"/>
              </w:rPr>
            </w:pPr>
            <w:r>
              <w:t>Exemples de questions</w:t>
            </w:r>
          </w:p>
        </w:tc>
        <w:tc>
          <w:tcPr>
            <w:tcW w:w="2274" w:type="pct"/>
          </w:tcPr>
          <w:p w14:paraId="6FD1BC15" w14:textId="77777777" w:rsidR="00257B37" w:rsidRPr="000202DB" w:rsidRDefault="00257B37"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t>Que faut-il évaluer?</w:t>
            </w:r>
          </w:p>
        </w:tc>
      </w:tr>
      <w:tr w:rsidR="00257B37" w:rsidRPr="000202DB" w14:paraId="76E19034"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pct"/>
          </w:tcPr>
          <w:p w14:paraId="70E67F7C" w14:textId="77777777" w:rsidR="00FE6C44" w:rsidRPr="000202DB" w:rsidRDefault="00FE6C44" w:rsidP="00413F5E">
            <w:pPr>
              <w:pStyle w:val="ListParagraph"/>
              <w:numPr>
                <w:ilvl w:val="0"/>
                <w:numId w:val="20"/>
              </w:numPr>
              <w:spacing w:before="120" w:after="120" w:line="240" w:lineRule="auto"/>
              <w:ind w:left="0" w:hanging="397"/>
              <w:contextualSpacing w:val="0"/>
              <w:rPr>
                <w:rFonts w:eastAsia="Times New Roman" w:cs="Times New Roman"/>
                <w:b w:val="0"/>
                <w:bCs w:val="0"/>
                <w:szCs w:val="24"/>
              </w:rPr>
            </w:pPr>
            <w:r>
              <w:rPr>
                <w:b w:val="0"/>
                <w:bCs w:val="0"/>
                <w:szCs w:val="24"/>
              </w:rPr>
              <w:t>Votre organisation a-t-elle un programme qui profite aux communautés locales de l’Ontario? Si oui, veuillez décrire comment votre organisation profite aux communautés locales de l’Ontario.</w:t>
            </w:r>
          </w:p>
          <w:p w14:paraId="55B5A032" w14:textId="77777777" w:rsidR="00FE6C44" w:rsidRPr="000202DB" w:rsidRDefault="00FE6C44" w:rsidP="00413F5E">
            <w:pPr>
              <w:pStyle w:val="ListParagraph"/>
              <w:numPr>
                <w:ilvl w:val="0"/>
                <w:numId w:val="20"/>
              </w:numPr>
              <w:spacing w:before="120" w:after="120" w:line="240" w:lineRule="auto"/>
              <w:ind w:left="0" w:hanging="397"/>
              <w:contextualSpacing w:val="0"/>
              <w:rPr>
                <w:rFonts w:eastAsia="Times New Roman" w:cs="Times New Roman"/>
                <w:b w:val="0"/>
                <w:bCs w:val="0"/>
                <w:szCs w:val="24"/>
              </w:rPr>
            </w:pPr>
            <w:r>
              <w:rPr>
                <w:b w:val="0"/>
                <w:bCs w:val="0"/>
                <w:szCs w:val="24"/>
              </w:rPr>
              <w:t>Votre organisation a-t-elle un objectif annuel défini réservé au profit d’un ou plusieurs secteurs de votre communauté locale de l’Ontario? Si oui, quel est votre objectif annuel?</w:t>
            </w:r>
          </w:p>
          <w:p w14:paraId="33CF8A96" w14:textId="77777777" w:rsidR="00FE6C44" w:rsidRPr="000202DB" w:rsidRDefault="00FE6C44" w:rsidP="00413F5E">
            <w:pPr>
              <w:pStyle w:val="ListParagraph"/>
              <w:numPr>
                <w:ilvl w:val="0"/>
                <w:numId w:val="20"/>
              </w:numPr>
              <w:spacing w:before="120" w:after="120" w:line="240" w:lineRule="auto"/>
              <w:ind w:left="0" w:hanging="397"/>
              <w:contextualSpacing w:val="0"/>
              <w:rPr>
                <w:rFonts w:eastAsia="Times New Roman" w:cs="Times New Roman"/>
                <w:b w:val="0"/>
                <w:bCs w:val="0"/>
                <w:szCs w:val="24"/>
              </w:rPr>
            </w:pPr>
            <w:proofErr w:type="gramStart"/>
            <w:r>
              <w:rPr>
                <w:b w:val="0"/>
                <w:bCs w:val="0"/>
                <w:szCs w:val="24"/>
              </w:rPr>
              <w:t>Nommez le</w:t>
            </w:r>
            <w:proofErr w:type="gramEnd"/>
            <w:r>
              <w:rPr>
                <w:b w:val="0"/>
                <w:bCs w:val="0"/>
                <w:szCs w:val="24"/>
              </w:rPr>
              <w:t xml:space="preserve"> ou les organismes de votre communauté locale de l’Ontario qui ont bénéficié du ou des programmes communautaires locaux de votre organisme et décrivez comment ces organismes ont bénéficié de votre programme. </w:t>
            </w:r>
          </w:p>
          <w:p w14:paraId="441A4A9E" w14:textId="3C046FF6" w:rsidR="00257B37" w:rsidRPr="000202DB" w:rsidRDefault="00FE6C44" w:rsidP="00413F5E">
            <w:pPr>
              <w:pStyle w:val="ListParagraph"/>
              <w:numPr>
                <w:ilvl w:val="0"/>
                <w:numId w:val="20"/>
              </w:numPr>
              <w:spacing w:before="120" w:after="120" w:line="240" w:lineRule="auto"/>
              <w:ind w:left="0" w:hanging="397"/>
              <w:contextualSpacing w:val="0"/>
              <w:rPr>
                <w:rFonts w:eastAsia="Times New Roman" w:cs="Times New Roman"/>
                <w:b w:val="0"/>
                <w:bCs w:val="0"/>
                <w:szCs w:val="24"/>
              </w:rPr>
            </w:pPr>
            <w:r>
              <w:rPr>
                <w:b w:val="0"/>
                <w:bCs w:val="0"/>
                <w:szCs w:val="24"/>
              </w:rPr>
              <w:t>Votre organisation a-t-elle un programme d’apprentissage qui profite à un établissement d’enseignement de l’Ontario?</w:t>
            </w:r>
          </w:p>
        </w:tc>
        <w:tc>
          <w:tcPr>
            <w:tcW w:w="2274" w:type="pct"/>
          </w:tcPr>
          <w:p w14:paraId="2BB7DF37" w14:textId="1746FFAA" w:rsidR="00745998" w:rsidRPr="000202DB" w:rsidRDefault="00745998" w:rsidP="00413F5E">
            <w:pPr>
              <w:pStyle w:val="ListParagraph"/>
              <w:numPr>
                <w:ilvl w:val="0"/>
                <w:numId w:val="21"/>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 xml:space="preserve">Le fournisseur a une politique ou un programme existant qui profite à la communauté locale. </w:t>
            </w:r>
          </w:p>
          <w:p w14:paraId="47FB16B3" w14:textId="09C63EE4" w:rsidR="00745998" w:rsidRPr="000202DB" w:rsidRDefault="00745998" w:rsidP="00413F5E">
            <w:pPr>
              <w:pStyle w:val="ListParagraph"/>
              <w:numPr>
                <w:ilvl w:val="0"/>
                <w:numId w:val="21"/>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a un engagement financier annuel qui soutient l’économie locale, qui peut inclure une valeur ou une cible monétaire, des heures de bénévolat, d’autres ressources et soutiens en nature (stage, apprentissage, etc.).</w:t>
            </w:r>
          </w:p>
          <w:p w14:paraId="06A2A314" w14:textId="6DCEF545" w:rsidR="00745998" w:rsidRPr="000202DB" w:rsidRDefault="00745998" w:rsidP="00413F5E">
            <w:pPr>
              <w:pStyle w:val="ListParagraph"/>
              <w:numPr>
                <w:ilvl w:val="0"/>
                <w:numId w:val="21"/>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 fournisseur a un partenariat existant avec les écoles et universités locales.</w:t>
            </w:r>
          </w:p>
          <w:p w14:paraId="7C3ACD43" w14:textId="2856E5C6" w:rsidR="00257B37" w:rsidRPr="000202DB" w:rsidRDefault="00745998" w:rsidP="00413F5E">
            <w:pPr>
              <w:pStyle w:val="ListParagraph"/>
              <w:numPr>
                <w:ilvl w:val="0"/>
                <w:numId w:val="21"/>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Il est possible de consulter le programme ou l’entente d’apprentissage de l’entreprise.</w:t>
            </w:r>
          </w:p>
        </w:tc>
      </w:tr>
    </w:tbl>
    <w:p w14:paraId="1237866B" w14:textId="70293BB8" w:rsidR="00CD1A04" w:rsidRPr="00927FD8" w:rsidRDefault="00CD1A04" w:rsidP="0075412A">
      <w:pPr>
        <w:pStyle w:val="Heading3"/>
      </w:pPr>
      <w:bookmarkStart w:id="52" w:name="_Toc90037140"/>
      <w:r>
        <w:t>Coûts et émissions nets</w:t>
      </w:r>
      <w:bookmarkEnd w:id="52"/>
    </w:p>
    <w:p w14:paraId="772C780E" w14:textId="054B9304" w:rsidR="00CD1A04" w:rsidRPr="000202DB" w:rsidRDefault="00CD1A04" w:rsidP="008F6DE1">
      <w:pPr>
        <w:spacing w:after="240" w:line="240" w:lineRule="auto"/>
        <w:rPr>
          <w:rFonts w:eastAsiaTheme="majorEastAsia" w:cstheme="majorBidi"/>
          <w:b/>
          <w:bCs/>
          <w:color w:val="006E81" w:themeColor="text2"/>
          <w:szCs w:val="24"/>
        </w:rPr>
      </w:pPr>
      <w:r>
        <w:rPr>
          <w:b/>
          <w:bCs/>
          <w:color w:val="006E81" w:themeColor="text2"/>
          <w:szCs w:val="24"/>
        </w:rPr>
        <w:lastRenderedPageBreak/>
        <w:t>Quand l’utiliser</w:t>
      </w:r>
    </w:p>
    <w:p w14:paraId="3841D63D" w14:textId="217A5F1B" w:rsidR="0014671E" w:rsidRPr="000202DB" w:rsidRDefault="00CF18CA" w:rsidP="008F6DE1">
      <w:pPr>
        <w:spacing w:after="240" w:line="240" w:lineRule="auto"/>
      </w:pPr>
      <w:r>
        <w:t>À inclure dans les approvisionnements en biens ou services qui peuvent avoir une incidence directe ou indirecte sur les coûts et les émissions nets découlant des combustibles fossiles et autres sources de gaz à effet de serre attribuables au choix du fournisseur en matière de transport ou de fourniture de biens ou de services, par exemple les émissions de CO</w:t>
      </w:r>
      <w:r>
        <w:rPr>
          <w:vertAlign w:val="subscript"/>
        </w:rPr>
        <w:t>2</w:t>
      </w:r>
      <w:r>
        <w:t>.</w:t>
      </w:r>
    </w:p>
    <w:p w14:paraId="1960CDBC" w14:textId="50475356" w:rsidR="0090388A" w:rsidRPr="000202DB" w:rsidRDefault="0014671E" w:rsidP="00264B5C">
      <w:pPr>
        <w:spacing w:after="240"/>
      </w:pPr>
      <w:r>
        <w:t>Voici des exemples de questions qui peuvent être incluses dans un document d’approvisionnement et de la façon dont les réponses peuvent être évaluées.</w:t>
      </w:r>
    </w:p>
    <w:tbl>
      <w:tblPr>
        <w:tblStyle w:val="GridTable4-Accent1"/>
        <w:tblW w:w="5000" w:type="pct"/>
        <w:tblLook w:val="04A0" w:firstRow="1" w:lastRow="0" w:firstColumn="1" w:lastColumn="0" w:noHBand="0" w:noVBand="1"/>
        <w:tblCaption w:val="Table 11: Landed Emissions"/>
        <w:tblDescription w:val="Examples of sample questions"/>
      </w:tblPr>
      <w:tblGrid>
        <w:gridCol w:w="4675"/>
        <w:gridCol w:w="4675"/>
      </w:tblGrid>
      <w:tr w:rsidR="0090388A" w:rsidRPr="000202DB" w14:paraId="37D94B06"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8145F9" w14:textId="77777777" w:rsidR="0090388A" w:rsidRPr="000202DB" w:rsidRDefault="0090388A" w:rsidP="00264B5C">
            <w:pPr>
              <w:spacing w:before="120" w:after="120" w:line="240" w:lineRule="auto"/>
              <w:ind w:hanging="397"/>
              <w:jc w:val="center"/>
              <w:rPr>
                <w:rFonts w:eastAsia="Times New Roman" w:cs="Times New Roman"/>
                <w:b w:val="0"/>
                <w:bCs w:val="0"/>
                <w:szCs w:val="24"/>
              </w:rPr>
            </w:pPr>
            <w:r>
              <w:t>Exemples de questions</w:t>
            </w:r>
          </w:p>
        </w:tc>
        <w:tc>
          <w:tcPr>
            <w:tcW w:w="2500" w:type="pct"/>
          </w:tcPr>
          <w:p w14:paraId="05661250" w14:textId="77777777" w:rsidR="0090388A" w:rsidRPr="000202DB" w:rsidRDefault="0090388A"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t>Que faut-il évaluer?</w:t>
            </w:r>
          </w:p>
        </w:tc>
      </w:tr>
      <w:tr w:rsidR="0090388A" w:rsidRPr="000202DB" w14:paraId="644392A6"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4FD6DD3" w14:textId="77777777" w:rsidR="00647532" w:rsidRPr="000202DB" w:rsidRDefault="00647532" w:rsidP="00413F5E">
            <w:pPr>
              <w:pStyle w:val="ListParagraph"/>
              <w:numPr>
                <w:ilvl w:val="0"/>
                <w:numId w:val="22"/>
              </w:numPr>
              <w:spacing w:before="120" w:after="120" w:line="240" w:lineRule="auto"/>
              <w:ind w:left="0" w:hanging="397"/>
              <w:contextualSpacing w:val="0"/>
              <w:rPr>
                <w:rFonts w:eastAsia="Times New Roman" w:cs="Times New Roman"/>
                <w:b w:val="0"/>
                <w:bCs w:val="0"/>
                <w:szCs w:val="24"/>
              </w:rPr>
            </w:pPr>
            <w:r>
              <w:rPr>
                <w:b w:val="0"/>
                <w:bCs w:val="0"/>
                <w:szCs w:val="24"/>
              </w:rPr>
              <w:t>Pouvez-vous fournir une copie des politiques environnementales de votre organisation?</w:t>
            </w:r>
          </w:p>
          <w:p w14:paraId="696B1336" w14:textId="77777777" w:rsidR="00647532" w:rsidRPr="000202DB" w:rsidRDefault="00647532" w:rsidP="00413F5E">
            <w:pPr>
              <w:pStyle w:val="ListParagraph"/>
              <w:numPr>
                <w:ilvl w:val="0"/>
                <w:numId w:val="22"/>
              </w:numPr>
              <w:spacing w:before="120" w:after="120" w:line="240" w:lineRule="auto"/>
              <w:ind w:left="0" w:hanging="397"/>
              <w:contextualSpacing w:val="0"/>
              <w:rPr>
                <w:rFonts w:eastAsia="Times New Roman" w:cs="Times New Roman"/>
                <w:b w:val="0"/>
                <w:bCs w:val="0"/>
                <w:szCs w:val="24"/>
              </w:rPr>
            </w:pPr>
            <w:r>
              <w:rPr>
                <w:b w:val="0"/>
                <w:bCs w:val="0"/>
                <w:szCs w:val="24"/>
              </w:rPr>
              <w:t xml:space="preserve">Quelle distance sera parcourue pour transporter les biens et services demandés jusqu’au(x) lieu(x) où ils sont nécessaires? </w:t>
            </w:r>
          </w:p>
          <w:p w14:paraId="57B3B48A" w14:textId="4BCCFD78" w:rsidR="0090388A" w:rsidRPr="000202DB" w:rsidRDefault="00647532" w:rsidP="00413F5E">
            <w:pPr>
              <w:pStyle w:val="ListParagraph"/>
              <w:numPr>
                <w:ilvl w:val="0"/>
                <w:numId w:val="22"/>
              </w:numPr>
              <w:spacing w:before="120" w:after="120" w:line="240" w:lineRule="auto"/>
              <w:ind w:left="0" w:hanging="397"/>
              <w:contextualSpacing w:val="0"/>
              <w:rPr>
                <w:rFonts w:eastAsia="Times New Roman" w:cs="Times New Roman"/>
                <w:b w:val="0"/>
                <w:bCs w:val="0"/>
                <w:szCs w:val="24"/>
              </w:rPr>
            </w:pPr>
            <w:r>
              <w:rPr>
                <w:b w:val="0"/>
                <w:bCs w:val="0"/>
                <w:szCs w:val="24"/>
              </w:rPr>
              <w:t>Quelle sera la méthode de transport utilisée (rail, route, mer, air)? Quelle est la compensation des émissions de CO2 (si nécessaire)? Existe-t-il d’autres moyens pour l’entreprise de déterminer elle-même des possibilités de réduire les émissions de CO</w:t>
            </w:r>
            <w:r>
              <w:rPr>
                <w:b w:val="0"/>
                <w:bCs w:val="0"/>
                <w:szCs w:val="24"/>
                <w:vertAlign w:val="subscript"/>
              </w:rPr>
              <w:t>2</w:t>
            </w:r>
            <w:r>
              <w:rPr>
                <w:b w:val="0"/>
                <w:bCs w:val="0"/>
                <w:szCs w:val="24"/>
              </w:rPr>
              <w:t xml:space="preserve"> lors de la livraison de biens et de services?</w:t>
            </w:r>
          </w:p>
        </w:tc>
        <w:tc>
          <w:tcPr>
            <w:tcW w:w="2500" w:type="pct"/>
          </w:tcPr>
          <w:p w14:paraId="4CAA0B8F" w14:textId="14748B0D" w:rsidR="00A95562" w:rsidRPr="000202DB" w:rsidRDefault="00A95562" w:rsidP="00413F5E">
            <w:pPr>
              <w:pStyle w:val="ListParagraph"/>
              <w:numPr>
                <w:ilvl w:val="0"/>
                <w:numId w:val="2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L’engagement du fournisseur envers l’environnement, comme en témoignent ses politiques environnementales existantes.</w:t>
            </w:r>
          </w:p>
          <w:p w14:paraId="328A5241" w14:textId="1D2E6D8C" w:rsidR="00A95562" w:rsidRPr="000202DB" w:rsidRDefault="00A95562" w:rsidP="00413F5E">
            <w:pPr>
              <w:pStyle w:val="ListParagraph"/>
              <w:numPr>
                <w:ilvl w:val="0"/>
                <w:numId w:val="2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La distance que le fournisseur devrait parcourir pour effectuer la livraison des biens ou des services demandés.</w:t>
            </w:r>
          </w:p>
          <w:p w14:paraId="56DC80BC" w14:textId="7AD6D0AC" w:rsidR="0090388A" w:rsidRPr="000202DB" w:rsidRDefault="00A95562" w:rsidP="00413F5E">
            <w:pPr>
              <w:pStyle w:val="ListParagraph"/>
              <w:numPr>
                <w:ilvl w:val="0"/>
                <w:numId w:val="23"/>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Émissions de CO</w:t>
            </w:r>
            <w:r>
              <w:rPr>
                <w:vertAlign w:val="subscript"/>
              </w:rPr>
              <w:t>2</w:t>
            </w:r>
            <w:r>
              <w:t xml:space="preserve"> résultant de la livraison, sur la base d’exemples de commandes (p. ex., volume, lieu).</w:t>
            </w:r>
          </w:p>
        </w:tc>
      </w:tr>
    </w:tbl>
    <w:p w14:paraId="02620AE0" w14:textId="77777777" w:rsidR="003A0906" w:rsidRPr="000202DB" w:rsidRDefault="003A0906" w:rsidP="00264B5C">
      <w:bookmarkStart w:id="53" w:name="_Toc90037141"/>
      <w:r>
        <w:br w:type="page"/>
      </w:r>
    </w:p>
    <w:p w14:paraId="5B43E9B4" w14:textId="6796BC80" w:rsidR="00CD1A04" w:rsidRPr="000202DB" w:rsidRDefault="00CD1A04" w:rsidP="0075412A">
      <w:pPr>
        <w:pStyle w:val="Heading3"/>
      </w:pPr>
      <w:r>
        <w:lastRenderedPageBreak/>
        <w:t>Main-d’œuvre</w:t>
      </w:r>
      <w:bookmarkEnd w:id="53"/>
      <w:r>
        <w:t xml:space="preserve">  </w:t>
      </w:r>
    </w:p>
    <w:p w14:paraId="57697ADA" w14:textId="07C80704" w:rsidR="00CD1A04" w:rsidRPr="000202DB" w:rsidRDefault="00CD1A04" w:rsidP="008F6DE1">
      <w:pPr>
        <w:spacing w:after="240" w:line="240" w:lineRule="auto"/>
        <w:rPr>
          <w:rFonts w:eastAsiaTheme="majorEastAsia" w:cstheme="majorBidi"/>
          <w:b/>
          <w:bCs/>
          <w:color w:val="006E81" w:themeColor="text2"/>
          <w:szCs w:val="24"/>
        </w:rPr>
      </w:pPr>
      <w:r>
        <w:rPr>
          <w:b/>
          <w:bCs/>
          <w:color w:val="006E81" w:themeColor="text2"/>
          <w:szCs w:val="24"/>
        </w:rPr>
        <w:t>Quand l’utiliser</w:t>
      </w:r>
    </w:p>
    <w:p w14:paraId="049ADC95" w14:textId="06F6DCFD" w:rsidR="00CD1A04" w:rsidRPr="000202DB" w:rsidRDefault="004B6827" w:rsidP="008F6DE1">
      <w:pPr>
        <w:spacing w:after="240" w:line="240" w:lineRule="auto"/>
      </w:pPr>
      <w:r>
        <w:t>Inclure dans les approvisionnements des éléments tels que les salaires, les avantages sociaux et les conditions de travail qui auront un effet important sur le coût de l’activité. Ce critère exige que les fournisseurs démontrent qu’ils respectent ou dépassent les lois du travail de l’Ontario lors de la production du bien ou du service.</w:t>
      </w:r>
    </w:p>
    <w:p w14:paraId="413AA3D9" w14:textId="74C2E594" w:rsidR="00CD1A04" w:rsidRPr="000202DB" w:rsidRDefault="00CD1A04" w:rsidP="00264B5C">
      <w:pPr>
        <w:spacing w:after="240"/>
      </w:pPr>
      <w:r>
        <w:t xml:space="preserve">Voici des exemples de questions qui peuvent être incluses dans un document d’approvisionnement et de la façon dont les réponses peuvent être évaluées. </w:t>
      </w:r>
    </w:p>
    <w:tbl>
      <w:tblPr>
        <w:tblStyle w:val="GridTable4-Accent1"/>
        <w:tblW w:w="5000" w:type="pct"/>
        <w:tblLook w:val="04A0" w:firstRow="1" w:lastRow="0" w:firstColumn="1" w:lastColumn="0" w:noHBand="0" w:noVBand="1"/>
        <w:tblCaption w:val="Table 12: Labour"/>
        <w:tblDescription w:val="Examples of sample questions"/>
      </w:tblPr>
      <w:tblGrid>
        <w:gridCol w:w="4675"/>
        <w:gridCol w:w="4675"/>
      </w:tblGrid>
      <w:tr w:rsidR="008F6B4F" w:rsidRPr="000202DB" w14:paraId="3A2C5A74"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E14E55" w14:textId="77777777" w:rsidR="008F6B4F" w:rsidRPr="000202DB" w:rsidRDefault="008F6B4F" w:rsidP="00264B5C">
            <w:pPr>
              <w:spacing w:before="120" w:after="120" w:line="240" w:lineRule="auto"/>
              <w:ind w:hanging="397"/>
              <w:jc w:val="center"/>
              <w:rPr>
                <w:rFonts w:eastAsia="Times New Roman" w:cs="Times New Roman"/>
                <w:b w:val="0"/>
                <w:bCs w:val="0"/>
                <w:szCs w:val="24"/>
              </w:rPr>
            </w:pPr>
            <w:r>
              <w:t>Exemples de questions</w:t>
            </w:r>
          </w:p>
        </w:tc>
        <w:tc>
          <w:tcPr>
            <w:tcW w:w="2500" w:type="pct"/>
          </w:tcPr>
          <w:p w14:paraId="5C86CB26" w14:textId="77777777" w:rsidR="008F6B4F" w:rsidRPr="000202DB" w:rsidRDefault="008F6B4F"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t>Que faut-il évaluer?</w:t>
            </w:r>
          </w:p>
        </w:tc>
      </w:tr>
      <w:tr w:rsidR="008F6B4F" w:rsidRPr="000202DB" w14:paraId="6806BEB7"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DA4B9E1" w14:textId="77777777" w:rsidR="006447BD" w:rsidRPr="000202DB" w:rsidRDefault="006447BD" w:rsidP="00413F5E">
            <w:pPr>
              <w:pStyle w:val="ListParagraph"/>
              <w:numPr>
                <w:ilvl w:val="0"/>
                <w:numId w:val="24"/>
              </w:numPr>
              <w:spacing w:before="120" w:after="120" w:line="240" w:lineRule="auto"/>
              <w:ind w:left="0" w:hanging="397"/>
              <w:contextualSpacing w:val="0"/>
              <w:rPr>
                <w:rFonts w:eastAsia="Times New Roman" w:cs="Times New Roman"/>
                <w:b w:val="0"/>
                <w:bCs w:val="0"/>
                <w:szCs w:val="24"/>
              </w:rPr>
            </w:pPr>
            <w:r>
              <w:rPr>
                <w:b w:val="0"/>
                <w:bCs w:val="0"/>
                <w:szCs w:val="24"/>
              </w:rPr>
              <w:t xml:space="preserve">Le soumissionnaire satisfait-il ou dépasse-t-il les critères suivants établis en vertu de la </w:t>
            </w:r>
            <w:r>
              <w:rPr>
                <w:b w:val="0"/>
                <w:bCs w:val="0"/>
                <w:i/>
                <w:iCs/>
                <w:szCs w:val="24"/>
              </w:rPr>
              <w:t xml:space="preserve">Loi de 2000 sur les normes d’emploi </w:t>
            </w:r>
            <w:r>
              <w:rPr>
                <w:b w:val="0"/>
                <w:bCs w:val="0"/>
                <w:szCs w:val="24"/>
              </w:rPr>
              <w:t>de l’Ontario?</w:t>
            </w:r>
          </w:p>
          <w:p w14:paraId="737BC839" w14:textId="77777777" w:rsidR="006447BD" w:rsidRPr="000202DB" w:rsidRDefault="006447BD" w:rsidP="00413F5E">
            <w:pPr>
              <w:pStyle w:val="ListParagraph"/>
              <w:numPr>
                <w:ilvl w:val="0"/>
                <w:numId w:val="26"/>
              </w:numPr>
              <w:spacing w:before="120" w:after="120" w:line="240" w:lineRule="auto"/>
              <w:ind w:left="0" w:hanging="397"/>
              <w:contextualSpacing w:val="0"/>
              <w:rPr>
                <w:rFonts w:eastAsia="Times New Roman" w:cs="Times New Roman"/>
                <w:b w:val="0"/>
                <w:bCs w:val="0"/>
                <w:szCs w:val="24"/>
              </w:rPr>
            </w:pPr>
            <w:r>
              <w:rPr>
                <w:b w:val="0"/>
                <w:bCs w:val="0"/>
                <w:szCs w:val="24"/>
              </w:rPr>
              <w:t>Heures de travail, périodes de repas et périodes de repos</w:t>
            </w:r>
          </w:p>
          <w:p w14:paraId="6EBD2A97" w14:textId="77777777" w:rsidR="006447BD" w:rsidRPr="000202DB" w:rsidRDefault="006447BD" w:rsidP="00413F5E">
            <w:pPr>
              <w:pStyle w:val="ListParagraph"/>
              <w:numPr>
                <w:ilvl w:val="0"/>
                <w:numId w:val="26"/>
              </w:numPr>
              <w:spacing w:before="120" w:after="120" w:line="240" w:lineRule="auto"/>
              <w:ind w:left="0" w:hanging="397"/>
              <w:contextualSpacing w:val="0"/>
              <w:rPr>
                <w:rFonts w:eastAsia="Times New Roman" w:cs="Times New Roman"/>
                <w:b w:val="0"/>
                <w:bCs w:val="0"/>
                <w:szCs w:val="24"/>
              </w:rPr>
            </w:pPr>
            <w:r>
              <w:rPr>
                <w:b w:val="0"/>
                <w:bCs w:val="0"/>
                <w:szCs w:val="24"/>
              </w:rPr>
              <w:t>Paiements des salaires</w:t>
            </w:r>
          </w:p>
          <w:p w14:paraId="6A17D4AB" w14:textId="136E482B" w:rsidR="006447BD" w:rsidRPr="000202DB" w:rsidRDefault="006447BD" w:rsidP="00413F5E">
            <w:pPr>
              <w:pStyle w:val="ListParagraph"/>
              <w:numPr>
                <w:ilvl w:val="0"/>
                <w:numId w:val="26"/>
              </w:numPr>
              <w:spacing w:before="120" w:after="120" w:line="240" w:lineRule="auto"/>
              <w:ind w:left="0" w:hanging="397"/>
              <w:contextualSpacing w:val="0"/>
              <w:rPr>
                <w:rFonts w:eastAsia="Times New Roman" w:cs="Times New Roman"/>
                <w:b w:val="0"/>
                <w:bCs w:val="0"/>
                <w:szCs w:val="24"/>
              </w:rPr>
            </w:pPr>
            <w:r>
              <w:rPr>
                <w:b w:val="0"/>
                <w:bCs w:val="0"/>
                <w:szCs w:val="24"/>
              </w:rPr>
              <w:t>Rémunération des heures supplémentaires</w:t>
            </w:r>
          </w:p>
          <w:p w14:paraId="0D40B39C" w14:textId="2F46A107" w:rsidR="008F6B4F" w:rsidRPr="000202DB" w:rsidRDefault="006447BD" w:rsidP="00413F5E">
            <w:pPr>
              <w:pStyle w:val="ListParagraph"/>
              <w:numPr>
                <w:ilvl w:val="0"/>
                <w:numId w:val="26"/>
              </w:numPr>
              <w:spacing w:before="120" w:after="120" w:line="240" w:lineRule="auto"/>
              <w:ind w:left="0" w:hanging="397"/>
              <w:contextualSpacing w:val="0"/>
              <w:rPr>
                <w:rFonts w:eastAsia="Times New Roman" w:cs="Times New Roman"/>
                <w:b w:val="0"/>
                <w:bCs w:val="0"/>
                <w:szCs w:val="24"/>
              </w:rPr>
            </w:pPr>
            <w:r>
              <w:rPr>
                <w:b w:val="0"/>
                <w:bCs w:val="0"/>
                <w:szCs w:val="24"/>
              </w:rPr>
              <w:t>Salaire minimum, etc.</w:t>
            </w:r>
          </w:p>
        </w:tc>
        <w:tc>
          <w:tcPr>
            <w:tcW w:w="2500" w:type="pct"/>
          </w:tcPr>
          <w:p w14:paraId="0C9FC2F4" w14:textId="196E6D1B" w:rsidR="008F6B4F" w:rsidRPr="000202DB" w:rsidRDefault="007747EF" w:rsidP="00413F5E">
            <w:pPr>
              <w:pStyle w:val="ListParagraph"/>
              <w:numPr>
                <w:ilvl w:val="0"/>
                <w:numId w:val="25"/>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 xml:space="preserve">Le fournisseur respecte ou dépasse les exigences établies en vertu de la </w:t>
            </w:r>
            <w:r>
              <w:rPr>
                <w:i/>
                <w:iCs/>
                <w:szCs w:val="24"/>
              </w:rPr>
              <w:t>Loi de 2000 sur les normes d’emploi</w:t>
            </w:r>
            <w:r>
              <w:t xml:space="preserve"> de l’Ontario.</w:t>
            </w:r>
          </w:p>
        </w:tc>
      </w:tr>
    </w:tbl>
    <w:p w14:paraId="212C7534" w14:textId="77777777" w:rsidR="003A0906" w:rsidRPr="000202DB" w:rsidRDefault="003A0906" w:rsidP="00264B5C">
      <w:bookmarkStart w:id="54" w:name="_Toc90037142"/>
      <w:r>
        <w:br w:type="page"/>
      </w:r>
    </w:p>
    <w:p w14:paraId="7149266A" w14:textId="1DD533E9" w:rsidR="00CD1A04" w:rsidRPr="000202DB" w:rsidRDefault="00CD1A04" w:rsidP="0075412A">
      <w:pPr>
        <w:pStyle w:val="Heading3"/>
      </w:pPr>
      <w:r>
        <w:lastRenderedPageBreak/>
        <w:t>Avantage local</w:t>
      </w:r>
      <w:bookmarkEnd w:id="54"/>
    </w:p>
    <w:p w14:paraId="1E539F8E" w14:textId="5A0CED46" w:rsidR="00CD1A04" w:rsidRPr="000202DB" w:rsidRDefault="00CD1A04" w:rsidP="00B866CC">
      <w:pPr>
        <w:spacing w:after="240" w:line="240" w:lineRule="auto"/>
        <w:rPr>
          <w:rFonts w:eastAsiaTheme="majorEastAsia" w:cstheme="majorBidi"/>
          <w:b/>
          <w:bCs/>
          <w:color w:val="006E81" w:themeColor="text2"/>
          <w:szCs w:val="24"/>
        </w:rPr>
      </w:pPr>
      <w:r>
        <w:rPr>
          <w:b/>
          <w:bCs/>
          <w:color w:val="006E81" w:themeColor="text2"/>
          <w:szCs w:val="24"/>
        </w:rPr>
        <w:t>Quand l’utiliser</w:t>
      </w:r>
    </w:p>
    <w:p w14:paraId="091CC58F" w14:textId="4952AD07" w:rsidR="00CD1A04" w:rsidRPr="000202DB" w:rsidRDefault="00A207B4" w:rsidP="00B866CC">
      <w:pPr>
        <w:spacing w:after="240" w:line="240" w:lineRule="auto"/>
      </w:pPr>
      <w:r>
        <w:t>Lorsque les approvisionnements offrent la possibilité de soutenir les sous-traitants établis en Ontario, les programmes de formation ou la recherche et le développement, et de bénéficier aux petites villes ou aux entreprises rurales. Le but du critère est d’évaluer les avantages que tout fournisseur apporterait à la région.</w:t>
      </w:r>
    </w:p>
    <w:p w14:paraId="6728F480" w14:textId="253419EB" w:rsidR="00CD1A04" w:rsidRPr="000202DB" w:rsidRDefault="00CD1A04" w:rsidP="00264B5C">
      <w:pPr>
        <w:spacing w:after="240"/>
      </w:pPr>
      <w:r>
        <w:t xml:space="preserve">Voici des exemples de questions qui peuvent être incluses dans un document d’approvisionnement et de la façon dont les réponses peuvent être évaluées. </w:t>
      </w:r>
    </w:p>
    <w:tbl>
      <w:tblPr>
        <w:tblStyle w:val="GridTable4-Accent1"/>
        <w:tblW w:w="5000" w:type="pct"/>
        <w:tblLook w:val="04A0" w:firstRow="1" w:lastRow="0" w:firstColumn="1" w:lastColumn="0" w:noHBand="0" w:noVBand="1"/>
        <w:tblCaption w:val="Table 13: Local Benefit"/>
        <w:tblDescription w:val="Examples of sample questions"/>
      </w:tblPr>
      <w:tblGrid>
        <w:gridCol w:w="4675"/>
        <w:gridCol w:w="4675"/>
      </w:tblGrid>
      <w:tr w:rsidR="00173F05" w:rsidRPr="000202DB" w14:paraId="34025583"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D998363" w14:textId="77777777" w:rsidR="00173F05" w:rsidRPr="000202DB" w:rsidRDefault="00173F05" w:rsidP="00264B5C">
            <w:pPr>
              <w:spacing w:before="120" w:after="120" w:line="240" w:lineRule="auto"/>
              <w:ind w:hanging="397"/>
              <w:jc w:val="center"/>
              <w:rPr>
                <w:rFonts w:eastAsia="Times New Roman" w:cs="Times New Roman"/>
                <w:b w:val="0"/>
                <w:bCs w:val="0"/>
                <w:szCs w:val="24"/>
              </w:rPr>
            </w:pPr>
            <w:r>
              <w:t>Exemples de questions</w:t>
            </w:r>
          </w:p>
        </w:tc>
        <w:tc>
          <w:tcPr>
            <w:tcW w:w="2500" w:type="pct"/>
          </w:tcPr>
          <w:p w14:paraId="35525E8F" w14:textId="77777777" w:rsidR="00173F05" w:rsidRPr="000202DB" w:rsidRDefault="00173F05"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t>Que faut-il évaluer?</w:t>
            </w:r>
          </w:p>
        </w:tc>
      </w:tr>
      <w:tr w:rsidR="00687752" w:rsidRPr="000202DB" w14:paraId="1D2DA9E5"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E623755" w14:textId="181829A2" w:rsidR="00CF4FAF" w:rsidRPr="000202DB" w:rsidRDefault="00CF4FAF" w:rsidP="00413F5E">
            <w:pPr>
              <w:pStyle w:val="ListParagraph"/>
              <w:numPr>
                <w:ilvl w:val="0"/>
                <w:numId w:val="27"/>
              </w:numPr>
              <w:spacing w:before="120" w:after="120" w:line="240" w:lineRule="auto"/>
              <w:ind w:left="0" w:hanging="397"/>
              <w:contextualSpacing w:val="0"/>
              <w:rPr>
                <w:rFonts w:eastAsia="Times New Roman" w:cs="Times New Roman"/>
                <w:b w:val="0"/>
                <w:bCs w:val="0"/>
                <w:szCs w:val="24"/>
              </w:rPr>
            </w:pPr>
            <w:r>
              <w:rPr>
                <w:b w:val="0"/>
                <w:bCs w:val="0"/>
                <w:szCs w:val="24"/>
              </w:rPr>
              <w:t>Décrivez comment et quand le fournisseur utilisera la main-d’œuvre locale, les fournisseurs locaux, les fabricants locaux, les entrepreneurs locaux et les apprentis ou les stagiaires locaux pour atteindre les objectifs du projet ou produire les biens demandés.</w:t>
            </w:r>
          </w:p>
          <w:p w14:paraId="38F16D74" w14:textId="77777777" w:rsidR="00CF4FAF" w:rsidRPr="000202DB" w:rsidRDefault="00CF4FAF" w:rsidP="00413F5E">
            <w:pPr>
              <w:pStyle w:val="ListParagraph"/>
              <w:numPr>
                <w:ilvl w:val="0"/>
                <w:numId w:val="27"/>
              </w:numPr>
              <w:spacing w:before="120" w:after="120" w:line="240" w:lineRule="auto"/>
              <w:ind w:left="0" w:hanging="397"/>
              <w:contextualSpacing w:val="0"/>
              <w:rPr>
                <w:rFonts w:eastAsia="Times New Roman" w:cs="Times New Roman"/>
                <w:b w:val="0"/>
                <w:bCs w:val="0"/>
                <w:szCs w:val="24"/>
              </w:rPr>
            </w:pPr>
            <w:r>
              <w:rPr>
                <w:b w:val="0"/>
                <w:bCs w:val="0"/>
                <w:szCs w:val="24"/>
              </w:rPr>
              <w:t>Quelle est la valeur du budget à allouer aux sous-traitants locaux?</w:t>
            </w:r>
          </w:p>
          <w:p w14:paraId="2100D01D" w14:textId="7B603DE3" w:rsidR="00CF4FAF" w:rsidRPr="000202DB" w:rsidRDefault="00CF4FAF" w:rsidP="00413F5E">
            <w:pPr>
              <w:pStyle w:val="ListParagraph"/>
              <w:numPr>
                <w:ilvl w:val="0"/>
                <w:numId w:val="27"/>
              </w:numPr>
              <w:spacing w:before="120" w:after="120" w:line="240" w:lineRule="auto"/>
              <w:ind w:left="0" w:hanging="397"/>
              <w:contextualSpacing w:val="0"/>
              <w:rPr>
                <w:rFonts w:eastAsia="Times New Roman" w:cs="Times New Roman"/>
                <w:b w:val="0"/>
                <w:bCs w:val="0"/>
                <w:szCs w:val="24"/>
              </w:rPr>
            </w:pPr>
            <w:r>
              <w:rPr>
                <w:b w:val="0"/>
                <w:bCs w:val="0"/>
                <w:szCs w:val="24"/>
              </w:rPr>
              <w:t>Décrivez le nombre d’apprentissages, de stages et de stages locaux soutenus par le fournisseur.</w:t>
            </w:r>
          </w:p>
          <w:p w14:paraId="141B4354" w14:textId="373C9B43" w:rsidR="00173F05" w:rsidRPr="000202DB" w:rsidRDefault="00CF4FAF" w:rsidP="00413F5E">
            <w:pPr>
              <w:pStyle w:val="ListParagraph"/>
              <w:numPr>
                <w:ilvl w:val="0"/>
                <w:numId w:val="27"/>
              </w:numPr>
              <w:spacing w:before="120" w:after="120" w:line="240" w:lineRule="auto"/>
              <w:ind w:left="0" w:hanging="397"/>
              <w:contextualSpacing w:val="0"/>
              <w:rPr>
                <w:rFonts w:eastAsia="Times New Roman" w:cs="Times New Roman"/>
                <w:b w:val="0"/>
                <w:bCs w:val="0"/>
                <w:szCs w:val="24"/>
              </w:rPr>
            </w:pPr>
            <w:r>
              <w:rPr>
                <w:b w:val="0"/>
                <w:bCs w:val="0"/>
                <w:szCs w:val="24"/>
              </w:rPr>
              <w:t>Décrivez les programmes de diversité de votre organisation.</w:t>
            </w:r>
          </w:p>
        </w:tc>
        <w:tc>
          <w:tcPr>
            <w:tcW w:w="2500" w:type="pct"/>
          </w:tcPr>
          <w:p w14:paraId="185B85A3" w14:textId="3276F1C5" w:rsidR="00A019B7" w:rsidRPr="000202DB" w:rsidRDefault="00A019B7" w:rsidP="00413F5E">
            <w:pPr>
              <w:pStyle w:val="ListParagraph"/>
              <w:numPr>
                <w:ilvl w:val="0"/>
                <w:numId w:val="28"/>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L’utilisation par le fournisseur de produits de base produits localement.</w:t>
            </w:r>
          </w:p>
          <w:p w14:paraId="0A22790A" w14:textId="67B7B937" w:rsidR="00A019B7" w:rsidRPr="000202DB" w:rsidRDefault="00A019B7" w:rsidP="00413F5E">
            <w:pPr>
              <w:pStyle w:val="ListParagraph"/>
              <w:numPr>
                <w:ilvl w:val="0"/>
                <w:numId w:val="28"/>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L’utilisation par le fournisseur des ressources locales pour fournir les services requis.</w:t>
            </w:r>
          </w:p>
          <w:p w14:paraId="678A184C" w14:textId="13757761" w:rsidR="00A019B7" w:rsidRPr="000202DB" w:rsidRDefault="00A019B7" w:rsidP="00413F5E">
            <w:pPr>
              <w:pStyle w:val="ListParagraph"/>
              <w:numPr>
                <w:ilvl w:val="0"/>
                <w:numId w:val="28"/>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Les programmes d’apprentissage du fournisseur qui profitent aux écoles et aux centres de formation locaux.</w:t>
            </w:r>
          </w:p>
          <w:p w14:paraId="74F2AEED" w14:textId="75C26377" w:rsidR="00173F05" w:rsidRPr="000202DB" w:rsidRDefault="00A019B7" w:rsidP="00413F5E">
            <w:pPr>
              <w:pStyle w:val="ListParagraph"/>
              <w:numPr>
                <w:ilvl w:val="0"/>
                <w:numId w:val="28"/>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 xml:space="preserve">L’engagement du fournisseur à soutenir la diversité par l’intermédiaire de politiques et de programmes. </w:t>
            </w:r>
          </w:p>
        </w:tc>
      </w:tr>
    </w:tbl>
    <w:p w14:paraId="5BCE7109" w14:textId="77777777" w:rsidR="003A0906" w:rsidRPr="000202DB" w:rsidRDefault="003A0906" w:rsidP="00264B5C">
      <w:bookmarkStart w:id="55" w:name="_Toc90037143"/>
      <w:r>
        <w:br w:type="page"/>
      </w:r>
    </w:p>
    <w:p w14:paraId="2E2E2B4F" w14:textId="6E33F88B" w:rsidR="00CD1A04" w:rsidRPr="000202DB" w:rsidRDefault="00DA09B7" w:rsidP="0075412A">
      <w:pPr>
        <w:pStyle w:val="Heading3"/>
      </w:pPr>
      <w:r>
        <w:lastRenderedPageBreak/>
        <w:t>Propriété intellectuelle</w:t>
      </w:r>
      <w:bookmarkEnd w:id="55"/>
      <w:r>
        <w:t xml:space="preserve"> </w:t>
      </w:r>
    </w:p>
    <w:p w14:paraId="054A4B95" w14:textId="183A9194" w:rsidR="00CD1A04" w:rsidRPr="000202DB" w:rsidRDefault="00CD1A04" w:rsidP="00B866CC">
      <w:pPr>
        <w:spacing w:after="240" w:line="240" w:lineRule="auto"/>
        <w:rPr>
          <w:rFonts w:eastAsiaTheme="majorEastAsia" w:cstheme="majorBidi"/>
          <w:b/>
          <w:bCs/>
          <w:color w:val="006E81" w:themeColor="text2"/>
          <w:szCs w:val="24"/>
        </w:rPr>
      </w:pPr>
      <w:r>
        <w:rPr>
          <w:b/>
          <w:bCs/>
          <w:color w:val="006E81" w:themeColor="text2"/>
          <w:szCs w:val="24"/>
        </w:rPr>
        <w:t>Quand l’utiliser</w:t>
      </w:r>
    </w:p>
    <w:p w14:paraId="0E424C3A" w14:textId="2BF51465" w:rsidR="00CD1A04" w:rsidRPr="000202DB" w:rsidRDefault="00626B6C" w:rsidP="00B866CC">
      <w:pPr>
        <w:spacing w:after="240" w:line="240" w:lineRule="auto"/>
      </w:pPr>
      <w:r>
        <w:t xml:space="preserve">Inclure dans les approvisionnements les cas où il existe une possibilité de renforcer les capacités des entreprises ontariennes par la mise au point de solutions nouvelles et innovantes, de produits uniques ou spécialisés présentant un fort potentiel d’innovation qui pourrait être exploité grâce à un investissement plus important dans la recherche et le développement. </w:t>
      </w:r>
    </w:p>
    <w:p w14:paraId="7944715F" w14:textId="174A5E23" w:rsidR="00CD1A04" w:rsidRPr="000202DB" w:rsidRDefault="00CD1A04" w:rsidP="00264B5C">
      <w:pPr>
        <w:spacing w:after="240"/>
      </w:pPr>
      <w:r>
        <w:t xml:space="preserve">Voici des exemples de questions qui peuvent être incluses dans un document d’approvisionnement et de la façon dont les réponses peuvent être évaluées. </w:t>
      </w:r>
    </w:p>
    <w:tbl>
      <w:tblPr>
        <w:tblStyle w:val="GridTable4-Accent1"/>
        <w:tblW w:w="5000" w:type="pct"/>
        <w:tblLook w:val="04A0" w:firstRow="1" w:lastRow="0" w:firstColumn="1" w:lastColumn="0" w:noHBand="0" w:noVBand="1"/>
        <w:tblCaption w:val="Table 14: Intellectual Property"/>
        <w:tblDescription w:val="Examples of sample questions"/>
      </w:tblPr>
      <w:tblGrid>
        <w:gridCol w:w="4675"/>
        <w:gridCol w:w="4675"/>
      </w:tblGrid>
      <w:tr w:rsidR="007A37E5" w:rsidRPr="000202DB" w14:paraId="41E8BE70" w14:textId="77777777" w:rsidTr="0013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C4E1296" w14:textId="77777777" w:rsidR="007A37E5" w:rsidRPr="000202DB" w:rsidRDefault="007A37E5" w:rsidP="00264B5C">
            <w:pPr>
              <w:spacing w:before="120" w:after="120" w:line="240" w:lineRule="auto"/>
              <w:ind w:hanging="397"/>
              <w:jc w:val="center"/>
              <w:rPr>
                <w:rFonts w:eastAsia="Times New Roman" w:cs="Times New Roman"/>
                <w:b w:val="0"/>
                <w:bCs w:val="0"/>
                <w:szCs w:val="24"/>
              </w:rPr>
            </w:pPr>
            <w:r>
              <w:t>Exemples de questions</w:t>
            </w:r>
          </w:p>
        </w:tc>
        <w:tc>
          <w:tcPr>
            <w:tcW w:w="2500" w:type="pct"/>
          </w:tcPr>
          <w:p w14:paraId="3A2BEB25" w14:textId="77777777" w:rsidR="007A37E5" w:rsidRPr="000202DB" w:rsidRDefault="007A37E5" w:rsidP="00264B5C">
            <w:pPr>
              <w:spacing w:before="120" w:after="120" w:line="240" w:lineRule="auto"/>
              <w:ind w:hanging="39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t>Que faut-il évaluer?</w:t>
            </w:r>
          </w:p>
        </w:tc>
      </w:tr>
      <w:tr w:rsidR="00943BFC" w:rsidRPr="000202DB" w14:paraId="3FB708A4" w14:textId="77777777" w:rsidTr="00133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999109" w14:textId="77777777" w:rsidR="00085E8C" w:rsidRPr="000202DB" w:rsidRDefault="00085E8C" w:rsidP="00413F5E">
            <w:pPr>
              <w:pStyle w:val="ListParagraph"/>
              <w:numPr>
                <w:ilvl w:val="0"/>
                <w:numId w:val="29"/>
              </w:numPr>
              <w:spacing w:before="120" w:after="120" w:line="240" w:lineRule="auto"/>
              <w:ind w:left="0" w:hanging="397"/>
              <w:contextualSpacing w:val="0"/>
              <w:rPr>
                <w:rFonts w:eastAsia="Times New Roman" w:cs="Times New Roman"/>
                <w:b w:val="0"/>
                <w:bCs w:val="0"/>
                <w:szCs w:val="24"/>
              </w:rPr>
            </w:pPr>
            <w:r>
              <w:rPr>
                <w:b w:val="0"/>
                <w:bCs w:val="0"/>
                <w:szCs w:val="24"/>
              </w:rPr>
              <w:t>Expliquez comment vous comprenez le besoin ou le problème et fournissez la solution innovante que vous proposez.</w:t>
            </w:r>
          </w:p>
          <w:p w14:paraId="025DE283" w14:textId="77777777" w:rsidR="00085E8C" w:rsidRPr="000202DB" w:rsidRDefault="00085E8C" w:rsidP="00413F5E">
            <w:pPr>
              <w:pStyle w:val="ListParagraph"/>
              <w:numPr>
                <w:ilvl w:val="0"/>
                <w:numId w:val="29"/>
              </w:numPr>
              <w:spacing w:before="120" w:after="120" w:line="240" w:lineRule="auto"/>
              <w:ind w:left="0" w:hanging="397"/>
              <w:contextualSpacing w:val="0"/>
              <w:rPr>
                <w:rFonts w:eastAsia="Times New Roman" w:cs="Times New Roman"/>
                <w:b w:val="0"/>
                <w:bCs w:val="0"/>
                <w:szCs w:val="24"/>
              </w:rPr>
            </w:pPr>
            <w:r>
              <w:rPr>
                <w:b w:val="0"/>
                <w:bCs w:val="0"/>
                <w:szCs w:val="24"/>
              </w:rPr>
              <w:t>Expliquez comment votre organisation fera participer un établissement d’enseignement de l’Ontario à la recherche et au développement liés à la solution que vous proposez.</w:t>
            </w:r>
          </w:p>
          <w:p w14:paraId="7E53E6B2" w14:textId="66C75FB4" w:rsidR="007A37E5" w:rsidRPr="000202DB" w:rsidRDefault="00085E8C" w:rsidP="00413F5E">
            <w:pPr>
              <w:pStyle w:val="ListParagraph"/>
              <w:numPr>
                <w:ilvl w:val="0"/>
                <w:numId w:val="29"/>
              </w:numPr>
              <w:spacing w:before="120" w:after="120" w:line="240" w:lineRule="auto"/>
              <w:ind w:left="0" w:hanging="397"/>
              <w:contextualSpacing w:val="0"/>
              <w:rPr>
                <w:rFonts w:eastAsia="Times New Roman" w:cs="Times New Roman"/>
                <w:b w:val="0"/>
                <w:bCs w:val="0"/>
                <w:szCs w:val="24"/>
              </w:rPr>
            </w:pPr>
            <w:r>
              <w:rPr>
                <w:b w:val="0"/>
                <w:bCs w:val="0"/>
                <w:szCs w:val="24"/>
              </w:rPr>
              <w:t>Votre entreprise a-t-elle commercialisé et vendu des solutions développées en partenariat avec des établissements d’enseignement de l’Ontario? Si oui, combien de produits exclusifs avez-vous développés?</w:t>
            </w:r>
          </w:p>
        </w:tc>
        <w:tc>
          <w:tcPr>
            <w:tcW w:w="2500" w:type="pct"/>
          </w:tcPr>
          <w:p w14:paraId="0A0AA1B3" w14:textId="6A912F23" w:rsidR="001B717E" w:rsidRPr="000202DB" w:rsidRDefault="001B717E" w:rsidP="00413F5E">
            <w:pPr>
              <w:pStyle w:val="ListParagraph"/>
              <w:numPr>
                <w:ilvl w:val="0"/>
                <w:numId w:val="30"/>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 xml:space="preserve">Le nombre de produits exclusifs qui ont été développés par le fournisseur en partenariat avec un établissement d’enseignement de l’Ontario. </w:t>
            </w:r>
          </w:p>
          <w:p w14:paraId="54E9F56A" w14:textId="4B36C7F5" w:rsidR="001B717E" w:rsidRPr="000202DB" w:rsidRDefault="001B717E" w:rsidP="00413F5E">
            <w:pPr>
              <w:pStyle w:val="ListParagraph"/>
              <w:numPr>
                <w:ilvl w:val="0"/>
                <w:numId w:val="30"/>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Les activités de R-D du fournisseur qui profitent à un établissement d’enseignement local.</w:t>
            </w:r>
          </w:p>
          <w:p w14:paraId="4FC7D158" w14:textId="1BE98201" w:rsidR="007A37E5" w:rsidRPr="000202DB" w:rsidRDefault="001B717E" w:rsidP="00413F5E">
            <w:pPr>
              <w:pStyle w:val="ListParagraph"/>
              <w:numPr>
                <w:ilvl w:val="0"/>
                <w:numId w:val="30"/>
              </w:numPr>
              <w:spacing w:before="120" w:after="120" w:line="240" w:lineRule="auto"/>
              <w:ind w:left="0" w:hanging="397"/>
              <w:contextualSpacing w:val="0"/>
              <w:cnfStyle w:val="000000100000" w:firstRow="0" w:lastRow="0" w:firstColumn="0" w:lastColumn="0" w:oddVBand="0" w:evenVBand="0" w:oddHBand="1" w:evenHBand="0" w:firstRowFirstColumn="0" w:firstRowLastColumn="0" w:lastRowFirstColumn="0" w:lastRowLastColumn="0"/>
              <w:rPr>
                <w:szCs w:val="24"/>
              </w:rPr>
            </w:pPr>
            <w:r>
              <w:t>La preuve de solutions développées par le fournisseur en partenariat avec un établissement d’enseignement de l’Ontario.</w:t>
            </w:r>
          </w:p>
        </w:tc>
      </w:tr>
    </w:tbl>
    <w:p w14:paraId="10A17BF4" w14:textId="77777777" w:rsidR="00670056" w:rsidRPr="000202DB" w:rsidRDefault="00670056" w:rsidP="00264B5C">
      <w:pPr>
        <w:spacing w:before="0" w:line="259" w:lineRule="auto"/>
        <w:rPr>
          <w:rFonts w:eastAsiaTheme="majorEastAsia" w:cstheme="majorBidi"/>
          <w:b/>
          <w:bCs/>
          <w:smallCaps/>
          <w:color w:val="006E81" w:themeColor="text2"/>
          <w:sz w:val="32"/>
          <w:szCs w:val="28"/>
        </w:rPr>
      </w:pPr>
      <w:r>
        <w:br w:type="page"/>
      </w:r>
    </w:p>
    <w:p w14:paraId="604B56DB" w14:textId="15301417" w:rsidR="00F77787" w:rsidRPr="000202DB" w:rsidRDefault="00F77787" w:rsidP="006F3345">
      <w:pPr>
        <w:pStyle w:val="Heading2"/>
      </w:pPr>
      <w:bookmarkStart w:id="56" w:name="_Appendix_B:_Example"/>
      <w:bookmarkStart w:id="57" w:name="_Toc160634800"/>
      <w:bookmarkStart w:id="58" w:name="_Toc175666958"/>
      <w:bookmarkEnd w:id="44"/>
      <w:bookmarkEnd w:id="56"/>
      <w:r>
        <w:lastRenderedPageBreak/>
        <w:t>Annexe B : Exemple d’application des critères nationaux pondérés dans les évaluations de l’approvisionnement</w:t>
      </w:r>
      <w:bookmarkEnd w:id="57"/>
      <w:bookmarkEnd w:id="58"/>
    </w:p>
    <w:tbl>
      <w:tblPr>
        <w:tblStyle w:val="TableGrid"/>
        <w:tblW w:w="5000" w:type="pct"/>
        <w:tblLook w:val="04A0" w:firstRow="1" w:lastRow="0" w:firstColumn="1" w:lastColumn="0" w:noHBand="0" w:noVBand="1"/>
        <w:tblCaption w:val="Table 15: Appendix B"/>
        <w:tblDescription w:val="Example of applying weighted domestic criteria in the procument process"/>
      </w:tblPr>
      <w:tblGrid>
        <w:gridCol w:w="2196"/>
        <w:gridCol w:w="2064"/>
        <w:gridCol w:w="2476"/>
        <w:gridCol w:w="2614"/>
      </w:tblGrid>
      <w:tr w:rsidR="00B420CB" w:rsidRPr="000202DB" w14:paraId="1A161548" w14:textId="77777777" w:rsidTr="008E07FD">
        <w:trPr>
          <w:trHeight w:val="671"/>
        </w:trPr>
        <w:tc>
          <w:tcPr>
            <w:tcW w:w="1174" w:type="pct"/>
            <w:tcBorders>
              <w:top w:val="single" w:sz="4" w:space="0" w:color="auto"/>
              <w:left w:val="single" w:sz="4" w:space="0" w:color="auto"/>
              <w:bottom w:val="nil"/>
              <w:right w:val="nil"/>
            </w:tcBorders>
            <w:shd w:val="clear" w:color="auto" w:fill="005160" w:themeFill="text2" w:themeFillShade="BF"/>
          </w:tcPr>
          <w:p w14:paraId="31DCFDB7" w14:textId="77777777" w:rsidR="00695B89" w:rsidRPr="000202DB" w:rsidRDefault="00695B89" w:rsidP="00264B5C">
            <w:pPr>
              <w:spacing w:after="240"/>
              <w:jc w:val="center"/>
              <w:rPr>
                <w:rFonts w:cs="Arial"/>
                <w:b/>
                <w:bCs/>
                <w:szCs w:val="24"/>
              </w:rPr>
            </w:pPr>
            <w:r>
              <w:rPr>
                <w:b/>
                <w:bCs/>
                <w:szCs w:val="24"/>
              </w:rPr>
              <w:t>Actuel</w:t>
            </w:r>
          </w:p>
        </w:tc>
        <w:tc>
          <w:tcPr>
            <w:tcW w:w="1104" w:type="pct"/>
            <w:tcBorders>
              <w:top w:val="single" w:sz="4" w:space="0" w:color="auto"/>
              <w:left w:val="nil"/>
              <w:bottom w:val="nil"/>
              <w:right w:val="single" w:sz="4" w:space="0" w:color="auto"/>
            </w:tcBorders>
            <w:shd w:val="clear" w:color="auto" w:fill="005160" w:themeFill="text2" w:themeFillShade="BF"/>
          </w:tcPr>
          <w:p w14:paraId="719EA9ED" w14:textId="50BE5C05" w:rsidR="00695B89" w:rsidRPr="000202DB" w:rsidRDefault="00695B89" w:rsidP="00264B5C">
            <w:pPr>
              <w:spacing w:after="240"/>
              <w:jc w:val="center"/>
              <w:rPr>
                <w:rFonts w:cs="Arial"/>
                <w:b/>
                <w:bCs/>
                <w:szCs w:val="24"/>
              </w:rPr>
            </w:pPr>
          </w:p>
        </w:tc>
        <w:tc>
          <w:tcPr>
            <w:tcW w:w="1324" w:type="pct"/>
            <w:tcBorders>
              <w:top w:val="single" w:sz="4" w:space="0" w:color="auto"/>
              <w:left w:val="single" w:sz="4" w:space="0" w:color="auto"/>
              <w:bottom w:val="nil"/>
              <w:right w:val="nil"/>
            </w:tcBorders>
            <w:shd w:val="clear" w:color="auto" w:fill="005160" w:themeFill="text2" w:themeFillShade="BF"/>
          </w:tcPr>
          <w:p w14:paraId="50E05858" w14:textId="77777777" w:rsidR="00695B89" w:rsidRPr="000202DB" w:rsidRDefault="00695B89" w:rsidP="00264B5C">
            <w:pPr>
              <w:spacing w:after="240"/>
              <w:jc w:val="center"/>
              <w:rPr>
                <w:rFonts w:eastAsia="Times New Roman" w:cs="Times New Roman"/>
                <w:b/>
                <w:bCs/>
                <w:szCs w:val="24"/>
              </w:rPr>
            </w:pPr>
            <w:r>
              <w:rPr>
                <w:b/>
                <w:bCs/>
                <w:szCs w:val="24"/>
              </w:rPr>
              <w:t>Proposée</w:t>
            </w:r>
          </w:p>
        </w:tc>
        <w:tc>
          <w:tcPr>
            <w:tcW w:w="1398" w:type="pct"/>
            <w:tcBorders>
              <w:top w:val="single" w:sz="4" w:space="0" w:color="auto"/>
              <w:left w:val="nil"/>
              <w:bottom w:val="nil"/>
              <w:right w:val="single" w:sz="4" w:space="0" w:color="auto"/>
            </w:tcBorders>
            <w:shd w:val="clear" w:color="auto" w:fill="005160" w:themeFill="text2" w:themeFillShade="BF"/>
          </w:tcPr>
          <w:p w14:paraId="6EE9CACD" w14:textId="29703650" w:rsidR="00695B89" w:rsidRPr="000202DB" w:rsidRDefault="00695B89" w:rsidP="00264B5C">
            <w:pPr>
              <w:spacing w:after="240"/>
              <w:jc w:val="center"/>
              <w:rPr>
                <w:rFonts w:eastAsia="Times New Roman" w:cs="Times New Roman"/>
                <w:b/>
                <w:bCs/>
                <w:szCs w:val="24"/>
                <w:lang w:val="en-CA" w:eastAsia="en-CA"/>
              </w:rPr>
            </w:pPr>
          </w:p>
        </w:tc>
      </w:tr>
      <w:tr w:rsidR="00B420CB" w:rsidRPr="000202DB" w14:paraId="77DDB944" w14:textId="77777777" w:rsidTr="008E07FD">
        <w:trPr>
          <w:trHeight w:val="582"/>
        </w:trPr>
        <w:tc>
          <w:tcPr>
            <w:tcW w:w="1174" w:type="pct"/>
            <w:tcBorders>
              <w:top w:val="nil"/>
            </w:tcBorders>
            <w:shd w:val="clear" w:color="auto" w:fill="005160" w:themeFill="text2" w:themeFillShade="BF"/>
            <w:vAlign w:val="center"/>
          </w:tcPr>
          <w:p w14:paraId="5C3B39E8" w14:textId="35D704B6" w:rsidR="00A35D0C" w:rsidRPr="000202DB" w:rsidRDefault="00A35D0C" w:rsidP="00264B5C">
            <w:pPr>
              <w:spacing w:after="240"/>
              <w:jc w:val="center"/>
              <w:rPr>
                <w:rFonts w:eastAsia="Times New Roman" w:cs="Times New Roman"/>
                <w:b/>
                <w:bCs/>
                <w:szCs w:val="24"/>
              </w:rPr>
            </w:pPr>
            <w:bookmarkStart w:id="59" w:name="_Toc56082373"/>
            <w:r>
              <w:rPr>
                <w:b/>
                <w:bCs/>
                <w:szCs w:val="24"/>
              </w:rPr>
              <w:t>Critère</w:t>
            </w:r>
            <w:bookmarkEnd w:id="59"/>
          </w:p>
        </w:tc>
        <w:tc>
          <w:tcPr>
            <w:tcW w:w="1104" w:type="pct"/>
            <w:tcBorders>
              <w:top w:val="nil"/>
            </w:tcBorders>
            <w:shd w:val="clear" w:color="auto" w:fill="005160" w:themeFill="text2" w:themeFillShade="BF"/>
            <w:vAlign w:val="center"/>
          </w:tcPr>
          <w:p w14:paraId="67294F72" w14:textId="77777777" w:rsidR="00A35D0C" w:rsidRPr="000202DB" w:rsidRDefault="00A35D0C" w:rsidP="00264B5C">
            <w:pPr>
              <w:spacing w:after="240"/>
              <w:jc w:val="center"/>
              <w:rPr>
                <w:rFonts w:eastAsia="Times New Roman" w:cs="Times New Roman"/>
                <w:b/>
                <w:bCs/>
                <w:szCs w:val="24"/>
              </w:rPr>
            </w:pPr>
            <w:bookmarkStart w:id="60" w:name="_Toc56082374"/>
            <w:r>
              <w:rPr>
                <w:b/>
                <w:bCs/>
                <w:szCs w:val="24"/>
              </w:rPr>
              <w:t>Pondération</w:t>
            </w:r>
            <w:bookmarkEnd w:id="60"/>
          </w:p>
        </w:tc>
        <w:tc>
          <w:tcPr>
            <w:tcW w:w="1324" w:type="pct"/>
            <w:tcBorders>
              <w:top w:val="nil"/>
            </w:tcBorders>
            <w:shd w:val="clear" w:color="auto" w:fill="005160" w:themeFill="text2" w:themeFillShade="BF"/>
            <w:vAlign w:val="center"/>
          </w:tcPr>
          <w:p w14:paraId="36D9C445" w14:textId="77777777" w:rsidR="00A35D0C" w:rsidRPr="000202DB" w:rsidRDefault="00A35D0C" w:rsidP="00264B5C">
            <w:pPr>
              <w:spacing w:after="240"/>
              <w:jc w:val="center"/>
              <w:rPr>
                <w:rFonts w:eastAsia="Times New Roman" w:cs="Times New Roman"/>
                <w:b/>
                <w:bCs/>
                <w:szCs w:val="24"/>
              </w:rPr>
            </w:pPr>
            <w:bookmarkStart w:id="61" w:name="_Toc56082375"/>
            <w:r>
              <w:rPr>
                <w:b/>
                <w:bCs/>
                <w:szCs w:val="24"/>
              </w:rPr>
              <w:t>Critère</w:t>
            </w:r>
            <w:bookmarkEnd w:id="61"/>
          </w:p>
        </w:tc>
        <w:tc>
          <w:tcPr>
            <w:tcW w:w="1398" w:type="pct"/>
            <w:tcBorders>
              <w:top w:val="nil"/>
            </w:tcBorders>
            <w:shd w:val="clear" w:color="auto" w:fill="005160" w:themeFill="text2" w:themeFillShade="BF"/>
            <w:vAlign w:val="center"/>
          </w:tcPr>
          <w:p w14:paraId="5B4B6E92" w14:textId="77777777" w:rsidR="00A35D0C" w:rsidRPr="000202DB" w:rsidRDefault="00A35D0C" w:rsidP="00264B5C">
            <w:pPr>
              <w:spacing w:after="240"/>
              <w:jc w:val="center"/>
              <w:rPr>
                <w:rFonts w:eastAsia="Times New Roman" w:cs="Times New Roman"/>
                <w:b/>
                <w:bCs/>
                <w:szCs w:val="24"/>
              </w:rPr>
            </w:pPr>
            <w:bookmarkStart w:id="62" w:name="_Toc56082376"/>
            <w:r>
              <w:rPr>
                <w:b/>
                <w:bCs/>
                <w:szCs w:val="24"/>
              </w:rPr>
              <w:t>Pondération</w:t>
            </w:r>
            <w:bookmarkEnd w:id="62"/>
          </w:p>
        </w:tc>
      </w:tr>
      <w:tr w:rsidR="00BB49A5" w:rsidRPr="000202DB" w14:paraId="30C1D73C" w14:textId="77777777" w:rsidTr="00D51BE0">
        <w:tc>
          <w:tcPr>
            <w:tcW w:w="1174" w:type="pct"/>
          </w:tcPr>
          <w:p w14:paraId="10196AEE" w14:textId="19463FCB" w:rsidR="00A35D0C" w:rsidRPr="000202DB" w:rsidRDefault="00A35D0C" w:rsidP="00264B5C">
            <w:pPr>
              <w:spacing w:after="240"/>
              <w:rPr>
                <w:rFonts w:eastAsia="Times New Roman" w:cs="Times New Roman"/>
                <w:szCs w:val="24"/>
              </w:rPr>
            </w:pPr>
            <w:bookmarkStart w:id="63" w:name="_Toc56082377"/>
            <w:r>
              <w:t>Expérience</w:t>
            </w:r>
            <w:bookmarkEnd w:id="63"/>
          </w:p>
        </w:tc>
        <w:tc>
          <w:tcPr>
            <w:tcW w:w="1104" w:type="pct"/>
          </w:tcPr>
          <w:p w14:paraId="3A27DE70" w14:textId="35A4C4D5" w:rsidR="00A35D0C" w:rsidRPr="000202DB" w:rsidRDefault="00E85D83" w:rsidP="00264B5C">
            <w:pPr>
              <w:spacing w:after="240"/>
              <w:rPr>
                <w:rFonts w:eastAsia="Times New Roman" w:cs="Times New Roman"/>
                <w:b/>
                <w:bCs/>
                <w:szCs w:val="24"/>
              </w:rPr>
            </w:pPr>
            <w:bookmarkStart w:id="64" w:name="_Toc56082378"/>
            <w:r>
              <w:rPr>
                <w:b/>
                <w:bCs/>
                <w:szCs w:val="24"/>
              </w:rPr>
              <w:t>25 %</w:t>
            </w:r>
            <w:bookmarkEnd w:id="64"/>
          </w:p>
        </w:tc>
        <w:tc>
          <w:tcPr>
            <w:tcW w:w="1324" w:type="pct"/>
          </w:tcPr>
          <w:p w14:paraId="268D4E73" w14:textId="2C7F6278" w:rsidR="00A35D0C" w:rsidRPr="000202DB" w:rsidRDefault="00E820F4" w:rsidP="00264B5C">
            <w:pPr>
              <w:spacing w:after="240"/>
              <w:rPr>
                <w:rFonts w:eastAsia="Times New Roman" w:cs="Times New Roman"/>
                <w:szCs w:val="24"/>
              </w:rPr>
            </w:pPr>
            <w:r>
              <w:t>Expérience</w:t>
            </w:r>
          </w:p>
        </w:tc>
        <w:tc>
          <w:tcPr>
            <w:tcW w:w="1398" w:type="pct"/>
          </w:tcPr>
          <w:p w14:paraId="16074A80" w14:textId="0D20024A" w:rsidR="00A35D0C" w:rsidRPr="000202DB" w:rsidRDefault="00E85D83" w:rsidP="00264B5C">
            <w:pPr>
              <w:spacing w:after="240"/>
              <w:rPr>
                <w:rFonts w:eastAsia="Times New Roman" w:cs="Times New Roman"/>
                <w:b/>
                <w:bCs/>
                <w:szCs w:val="24"/>
              </w:rPr>
            </w:pPr>
            <w:bookmarkStart w:id="65" w:name="_Toc56082380"/>
            <w:r>
              <w:rPr>
                <w:b/>
                <w:bCs/>
                <w:szCs w:val="24"/>
              </w:rPr>
              <w:t>15 %</w:t>
            </w:r>
            <w:bookmarkEnd w:id="65"/>
          </w:p>
        </w:tc>
      </w:tr>
      <w:tr w:rsidR="00BB49A5" w:rsidRPr="000202DB" w14:paraId="29420647" w14:textId="77777777" w:rsidTr="00D51BE0">
        <w:tc>
          <w:tcPr>
            <w:tcW w:w="1174" w:type="pct"/>
          </w:tcPr>
          <w:p w14:paraId="176ADE42" w14:textId="7EEE4102" w:rsidR="00A35D0C" w:rsidRPr="000202DB" w:rsidRDefault="3AA8D859" w:rsidP="00264B5C">
            <w:pPr>
              <w:spacing w:after="240"/>
              <w:rPr>
                <w:rFonts w:eastAsia="Times New Roman" w:cs="Times New Roman"/>
                <w:szCs w:val="24"/>
              </w:rPr>
            </w:pPr>
            <w:bookmarkStart w:id="66" w:name="_Toc56082381"/>
            <w:r>
              <w:t>Conformité à la LAPHO</w:t>
            </w:r>
            <w:bookmarkEnd w:id="66"/>
          </w:p>
        </w:tc>
        <w:tc>
          <w:tcPr>
            <w:tcW w:w="1104" w:type="pct"/>
          </w:tcPr>
          <w:p w14:paraId="79DD4C0F" w14:textId="77777777" w:rsidR="00A35D0C" w:rsidRPr="000202DB" w:rsidRDefault="00A35D0C" w:rsidP="00264B5C">
            <w:pPr>
              <w:spacing w:after="240"/>
              <w:rPr>
                <w:rFonts w:eastAsia="Times New Roman" w:cs="Times New Roman"/>
                <w:b/>
                <w:bCs/>
                <w:szCs w:val="24"/>
              </w:rPr>
            </w:pPr>
            <w:bookmarkStart w:id="67" w:name="_Toc56082382"/>
            <w:r>
              <w:rPr>
                <w:b/>
                <w:bCs/>
                <w:szCs w:val="24"/>
              </w:rPr>
              <w:t>5 %</w:t>
            </w:r>
            <w:bookmarkEnd w:id="67"/>
          </w:p>
        </w:tc>
        <w:tc>
          <w:tcPr>
            <w:tcW w:w="1324" w:type="pct"/>
          </w:tcPr>
          <w:p w14:paraId="39BBE398" w14:textId="74727731" w:rsidR="00A35D0C" w:rsidRPr="000202DB" w:rsidRDefault="00E820F4" w:rsidP="00264B5C">
            <w:pPr>
              <w:spacing w:after="240"/>
              <w:rPr>
                <w:rFonts w:eastAsia="Times New Roman" w:cs="Times New Roman"/>
                <w:szCs w:val="24"/>
              </w:rPr>
            </w:pPr>
            <w:r>
              <w:t>Conformité à la LAPHO</w:t>
            </w:r>
          </w:p>
        </w:tc>
        <w:tc>
          <w:tcPr>
            <w:tcW w:w="1398" w:type="pct"/>
          </w:tcPr>
          <w:p w14:paraId="781719B4" w14:textId="77777777" w:rsidR="00A35D0C" w:rsidRPr="000202DB" w:rsidRDefault="00A35D0C" w:rsidP="00264B5C">
            <w:pPr>
              <w:spacing w:after="240"/>
              <w:rPr>
                <w:rFonts w:eastAsia="Times New Roman" w:cs="Times New Roman"/>
                <w:b/>
                <w:bCs/>
                <w:szCs w:val="24"/>
              </w:rPr>
            </w:pPr>
            <w:bookmarkStart w:id="68" w:name="_Toc56082384"/>
            <w:r>
              <w:rPr>
                <w:b/>
                <w:bCs/>
                <w:szCs w:val="24"/>
              </w:rPr>
              <w:t>5 %</w:t>
            </w:r>
            <w:bookmarkEnd w:id="68"/>
          </w:p>
        </w:tc>
      </w:tr>
      <w:tr w:rsidR="00BB49A5" w:rsidRPr="000202DB" w14:paraId="3134151C" w14:textId="77777777" w:rsidTr="00D51BE0">
        <w:tc>
          <w:tcPr>
            <w:tcW w:w="1174" w:type="pct"/>
          </w:tcPr>
          <w:p w14:paraId="64F79D3E" w14:textId="19CE5E2F" w:rsidR="00A35D0C" w:rsidRPr="000202DB" w:rsidRDefault="00E85D83" w:rsidP="00264B5C">
            <w:pPr>
              <w:spacing w:after="240"/>
              <w:rPr>
                <w:rFonts w:eastAsia="Times New Roman" w:cs="Times New Roman"/>
                <w:szCs w:val="24"/>
              </w:rPr>
            </w:pPr>
            <w:r>
              <w:t>Connaissances</w:t>
            </w:r>
          </w:p>
        </w:tc>
        <w:tc>
          <w:tcPr>
            <w:tcW w:w="1104" w:type="pct"/>
          </w:tcPr>
          <w:p w14:paraId="0A58505C" w14:textId="6B4B450F" w:rsidR="00A35D0C" w:rsidRPr="000202DB" w:rsidRDefault="00E85D83" w:rsidP="00264B5C">
            <w:pPr>
              <w:spacing w:after="240"/>
              <w:rPr>
                <w:rFonts w:eastAsia="Times New Roman" w:cs="Times New Roman"/>
                <w:b/>
                <w:bCs/>
                <w:szCs w:val="24"/>
              </w:rPr>
            </w:pPr>
            <w:bookmarkStart w:id="69" w:name="_Toc56082386"/>
            <w:r>
              <w:rPr>
                <w:b/>
                <w:bCs/>
                <w:szCs w:val="24"/>
              </w:rPr>
              <w:t>15 %</w:t>
            </w:r>
            <w:bookmarkEnd w:id="69"/>
          </w:p>
        </w:tc>
        <w:tc>
          <w:tcPr>
            <w:tcW w:w="1324" w:type="pct"/>
          </w:tcPr>
          <w:p w14:paraId="790F7E0F" w14:textId="7A3FF65E" w:rsidR="00A35D0C" w:rsidRPr="000202DB" w:rsidRDefault="00E85D83" w:rsidP="00264B5C">
            <w:pPr>
              <w:spacing w:after="240"/>
              <w:rPr>
                <w:rFonts w:eastAsia="Times New Roman" w:cs="Times New Roman"/>
                <w:szCs w:val="24"/>
              </w:rPr>
            </w:pPr>
            <w:r>
              <w:t>Connaissances</w:t>
            </w:r>
          </w:p>
        </w:tc>
        <w:tc>
          <w:tcPr>
            <w:tcW w:w="1398" w:type="pct"/>
          </w:tcPr>
          <w:p w14:paraId="6263FED5" w14:textId="22955348" w:rsidR="00A35D0C" w:rsidRPr="000202DB" w:rsidRDefault="00E85D83" w:rsidP="00264B5C">
            <w:pPr>
              <w:spacing w:after="240"/>
              <w:rPr>
                <w:rFonts w:eastAsia="Times New Roman" w:cs="Times New Roman"/>
                <w:b/>
                <w:bCs/>
                <w:szCs w:val="24"/>
              </w:rPr>
            </w:pPr>
            <w:bookmarkStart w:id="70" w:name="_Toc56082388"/>
            <w:r>
              <w:rPr>
                <w:b/>
                <w:bCs/>
                <w:szCs w:val="24"/>
              </w:rPr>
              <w:t>15 %</w:t>
            </w:r>
            <w:bookmarkEnd w:id="70"/>
          </w:p>
        </w:tc>
      </w:tr>
      <w:tr w:rsidR="00BB49A5" w:rsidRPr="000202DB" w14:paraId="4F91F77F" w14:textId="77777777" w:rsidTr="00D51BE0">
        <w:tc>
          <w:tcPr>
            <w:tcW w:w="1174" w:type="pct"/>
          </w:tcPr>
          <w:p w14:paraId="361AA3F2" w14:textId="2E11872F" w:rsidR="00A35D0C" w:rsidRPr="000202DB" w:rsidRDefault="00A35D0C" w:rsidP="00264B5C">
            <w:pPr>
              <w:spacing w:after="240"/>
              <w:rPr>
                <w:rFonts w:eastAsia="Times New Roman" w:cs="Times New Roman"/>
                <w:szCs w:val="24"/>
              </w:rPr>
            </w:pPr>
            <w:bookmarkStart w:id="71" w:name="_Toc56082389"/>
            <w:r>
              <w:t>Approche du projet</w:t>
            </w:r>
            <w:bookmarkEnd w:id="71"/>
          </w:p>
        </w:tc>
        <w:tc>
          <w:tcPr>
            <w:tcW w:w="1104" w:type="pct"/>
          </w:tcPr>
          <w:p w14:paraId="37104D69" w14:textId="77777777" w:rsidR="00A35D0C" w:rsidRPr="000202DB" w:rsidRDefault="00A35D0C" w:rsidP="00264B5C">
            <w:pPr>
              <w:spacing w:after="240"/>
              <w:rPr>
                <w:rFonts w:eastAsia="Times New Roman" w:cs="Times New Roman"/>
                <w:b/>
                <w:bCs/>
                <w:szCs w:val="24"/>
              </w:rPr>
            </w:pPr>
            <w:bookmarkStart w:id="72" w:name="_Toc56082390"/>
            <w:r>
              <w:rPr>
                <w:b/>
                <w:bCs/>
                <w:szCs w:val="24"/>
              </w:rPr>
              <w:t>15 %</w:t>
            </w:r>
            <w:bookmarkEnd w:id="72"/>
          </w:p>
        </w:tc>
        <w:tc>
          <w:tcPr>
            <w:tcW w:w="1324" w:type="pct"/>
          </w:tcPr>
          <w:p w14:paraId="07768E76" w14:textId="2EA1A322" w:rsidR="00A35D0C" w:rsidRPr="000202DB" w:rsidRDefault="00E820F4" w:rsidP="00264B5C">
            <w:pPr>
              <w:spacing w:after="240"/>
              <w:rPr>
                <w:rFonts w:eastAsia="Times New Roman" w:cs="Times New Roman"/>
                <w:szCs w:val="24"/>
              </w:rPr>
            </w:pPr>
            <w:r>
              <w:t>Approche du projet</w:t>
            </w:r>
          </w:p>
        </w:tc>
        <w:tc>
          <w:tcPr>
            <w:tcW w:w="1398" w:type="pct"/>
          </w:tcPr>
          <w:p w14:paraId="6A440C1F" w14:textId="40331488" w:rsidR="00A35D0C" w:rsidRPr="000202DB" w:rsidRDefault="00E85D83" w:rsidP="00264B5C">
            <w:pPr>
              <w:spacing w:after="240"/>
              <w:rPr>
                <w:rFonts w:eastAsia="Times New Roman" w:cs="Times New Roman"/>
                <w:b/>
                <w:bCs/>
                <w:szCs w:val="24"/>
              </w:rPr>
            </w:pPr>
            <w:bookmarkStart w:id="73" w:name="_Toc56082392"/>
            <w:r>
              <w:rPr>
                <w:b/>
                <w:bCs/>
                <w:szCs w:val="24"/>
              </w:rPr>
              <w:t>10 %</w:t>
            </w:r>
            <w:bookmarkEnd w:id="73"/>
          </w:p>
        </w:tc>
      </w:tr>
      <w:tr w:rsidR="00BB49A5" w:rsidRPr="000202DB" w14:paraId="595BF19D" w14:textId="77777777" w:rsidTr="00D51BE0">
        <w:trPr>
          <w:trHeight w:val="852"/>
        </w:trPr>
        <w:tc>
          <w:tcPr>
            <w:tcW w:w="1174" w:type="pct"/>
          </w:tcPr>
          <w:p w14:paraId="2DD0B51B" w14:textId="7F604A3F" w:rsidR="00A35D0C" w:rsidRPr="000202DB" w:rsidRDefault="00A35D0C" w:rsidP="00264B5C">
            <w:pPr>
              <w:spacing w:after="240"/>
              <w:rPr>
                <w:rFonts w:eastAsia="Times New Roman" w:cs="Times New Roman"/>
                <w:szCs w:val="24"/>
              </w:rPr>
            </w:pPr>
            <w:bookmarkStart w:id="74" w:name="_Toc56082393"/>
            <w:r>
              <w:t>Service à la clientèle</w:t>
            </w:r>
            <w:bookmarkEnd w:id="74"/>
          </w:p>
        </w:tc>
        <w:tc>
          <w:tcPr>
            <w:tcW w:w="1104" w:type="pct"/>
          </w:tcPr>
          <w:p w14:paraId="3AC08ADA" w14:textId="71A07D57" w:rsidR="00A35D0C" w:rsidRPr="000202DB" w:rsidRDefault="00E85D83" w:rsidP="00264B5C">
            <w:pPr>
              <w:spacing w:after="240"/>
              <w:rPr>
                <w:rFonts w:eastAsia="Times New Roman" w:cs="Times New Roman"/>
                <w:b/>
                <w:bCs/>
                <w:szCs w:val="24"/>
              </w:rPr>
            </w:pPr>
            <w:bookmarkStart w:id="75" w:name="_Toc56082394"/>
            <w:r>
              <w:rPr>
                <w:b/>
                <w:bCs/>
                <w:szCs w:val="24"/>
              </w:rPr>
              <w:t>10 %</w:t>
            </w:r>
            <w:bookmarkEnd w:id="75"/>
          </w:p>
        </w:tc>
        <w:tc>
          <w:tcPr>
            <w:tcW w:w="1324" w:type="pct"/>
          </w:tcPr>
          <w:p w14:paraId="079B8FF6" w14:textId="1FB846AD" w:rsidR="00A35D0C" w:rsidRPr="000202DB" w:rsidRDefault="00F65B44" w:rsidP="00264B5C">
            <w:pPr>
              <w:spacing w:after="240"/>
              <w:rPr>
                <w:rFonts w:eastAsia="Times New Roman" w:cs="Times New Roman"/>
                <w:szCs w:val="24"/>
              </w:rPr>
            </w:pPr>
            <w:r>
              <w:t>Service à la clientèle</w:t>
            </w:r>
          </w:p>
        </w:tc>
        <w:tc>
          <w:tcPr>
            <w:tcW w:w="1398" w:type="pct"/>
          </w:tcPr>
          <w:p w14:paraId="75EE7DC5" w14:textId="3EC7C5BD" w:rsidR="00A35D0C" w:rsidRPr="000202DB" w:rsidRDefault="00A35D0C" w:rsidP="00264B5C">
            <w:pPr>
              <w:spacing w:after="240"/>
              <w:rPr>
                <w:rFonts w:eastAsia="Times New Roman" w:cs="Times New Roman"/>
                <w:b/>
                <w:bCs/>
                <w:szCs w:val="24"/>
              </w:rPr>
            </w:pPr>
            <w:bookmarkStart w:id="76" w:name="_Toc56082396"/>
            <w:r>
              <w:rPr>
                <w:b/>
                <w:bCs/>
                <w:szCs w:val="24"/>
              </w:rPr>
              <w:t>10 %</w:t>
            </w:r>
            <w:bookmarkEnd w:id="76"/>
          </w:p>
        </w:tc>
      </w:tr>
      <w:tr w:rsidR="00BB49A5" w:rsidRPr="000202DB" w14:paraId="2F857333" w14:textId="77777777" w:rsidTr="00D51BE0">
        <w:trPr>
          <w:trHeight w:val="1475"/>
        </w:trPr>
        <w:tc>
          <w:tcPr>
            <w:tcW w:w="1174" w:type="pct"/>
          </w:tcPr>
          <w:p w14:paraId="37510866" w14:textId="77777777" w:rsidR="00A35D0C" w:rsidRPr="000202DB" w:rsidRDefault="00A35D0C" w:rsidP="00264B5C">
            <w:pPr>
              <w:spacing w:after="240"/>
              <w:rPr>
                <w:rFonts w:eastAsia="Times New Roman" w:cs="Times New Roman"/>
                <w:szCs w:val="24"/>
                <w:lang w:val="en-CA" w:eastAsia="en-CA"/>
              </w:rPr>
            </w:pPr>
          </w:p>
        </w:tc>
        <w:tc>
          <w:tcPr>
            <w:tcW w:w="1104" w:type="pct"/>
          </w:tcPr>
          <w:p w14:paraId="3ABC0E44" w14:textId="77777777" w:rsidR="00A35D0C" w:rsidRPr="000202DB" w:rsidRDefault="00A35D0C" w:rsidP="00264B5C">
            <w:pPr>
              <w:spacing w:after="240"/>
              <w:rPr>
                <w:rFonts w:eastAsia="Times New Roman" w:cs="Times New Roman"/>
                <w:szCs w:val="24"/>
                <w:lang w:val="en-CA" w:eastAsia="en-CA"/>
              </w:rPr>
            </w:pPr>
          </w:p>
        </w:tc>
        <w:tc>
          <w:tcPr>
            <w:tcW w:w="1324" w:type="pct"/>
          </w:tcPr>
          <w:p w14:paraId="5B7C1F0B" w14:textId="1320A9F5" w:rsidR="00A35D0C" w:rsidRPr="000202DB" w:rsidRDefault="00A35D0C" w:rsidP="00264B5C">
            <w:pPr>
              <w:spacing w:after="240"/>
              <w:rPr>
                <w:rFonts w:eastAsia="Times New Roman" w:cs="Times New Roman"/>
                <w:b/>
                <w:bCs/>
                <w:szCs w:val="24"/>
              </w:rPr>
            </w:pPr>
            <w:bookmarkStart w:id="77" w:name="_Toc56082397"/>
            <w:r>
              <w:rPr>
                <w:b/>
                <w:bCs/>
                <w:szCs w:val="24"/>
              </w:rPr>
              <w:t>Environnement</w:t>
            </w:r>
            <w:bookmarkEnd w:id="77"/>
            <w:r>
              <w:rPr>
                <w:b/>
                <w:bCs/>
                <w:szCs w:val="24"/>
              </w:rPr>
              <w:t xml:space="preserve"> et durabilité</w:t>
            </w:r>
          </w:p>
        </w:tc>
        <w:tc>
          <w:tcPr>
            <w:tcW w:w="1398" w:type="pct"/>
          </w:tcPr>
          <w:p w14:paraId="43BFC8C1" w14:textId="10F9A72D" w:rsidR="00A35D0C" w:rsidRPr="000202DB" w:rsidRDefault="00A168D9" w:rsidP="00264B5C">
            <w:pPr>
              <w:spacing w:after="240"/>
              <w:rPr>
                <w:rFonts w:eastAsia="Times New Roman" w:cs="Times New Roman"/>
                <w:b/>
                <w:bCs/>
                <w:szCs w:val="24"/>
              </w:rPr>
            </w:pPr>
            <w:bookmarkStart w:id="78" w:name="_Toc56082398"/>
            <w:r>
              <w:rPr>
                <w:b/>
                <w:bCs/>
                <w:noProof/>
                <w:szCs w:val="24"/>
                <w:lang w:eastAsia="fr-CA"/>
              </w:rPr>
              <mc:AlternateContent>
                <mc:Choice Requires="wpg">
                  <w:drawing>
                    <wp:anchor distT="0" distB="0" distL="114300" distR="114300" simplePos="0" relativeHeight="251659776" behindDoc="0" locked="0" layoutInCell="1" allowOverlap="1" wp14:anchorId="79F0AA25" wp14:editId="16CF36CE">
                      <wp:simplePos x="0" y="0"/>
                      <wp:positionH relativeFrom="column">
                        <wp:posOffset>25210</wp:posOffset>
                      </wp:positionH>
                      <wp:positionV relativeFrom="paragraph">
                        <wp:posOffset>62865</wp:posOffset>
                      </wp:positionV>
                      <wp:extent cx="1988820" cy="2171700"/>
                      <wp:effectExtent l="0" t="0" r="11430" b="190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88820" cy="2171700"/>
                                <a:chOff x="0" y="0"/>
                                <a:chExt cx="1988993" cy="2171700"/>
                              </a:xfrm>
                            </wpg:grpSpPr>
                            <wps:wsp>
                              <wps:cNvPr id="1" name="Right Brace 1"/>
                              <wps:cNvSpPr/>
                              <wps:spPr>
                                <a:xfrm>
                                  <a:off x="0" y="0"/>
                                  <a:ext cx="704850" cy="2171700"/>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617393" y="466725"/>
                                  <a:ext cx="1371600" cy="1266825"/>
                                </a:xfrm>
                                <a:prstGeom prst="rect">
                                  <a:avLst/>
                                </a:prstGeom>
                                <a:solidFill>
                                  <a:schemeClr val="lt1"/>
                                </a:solidFill>
                                <a:ln w="6350">
                                  <a:solidFill>
                                    <a:srgbClr val="FF0000"/>
                                  </a:solidFill>
                                </a:ln>
                              </wps:spPr>
                              <wps:txbx>
                                <w:txbxContent>
                                  <w:p w14:paraId="6C815900" w14:textId="69118A23" w:rsidR="002018CF" w:rsidRPr="00785EC3" w:rsidRDefault="002018CF">
                                    <w:r>
                                      <w:t xml:space="preserve">Nouveaux critères nationaux pondérés inclus dans les critères cotés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9F0AA25" id="Group 3" o:spid="_x0000_s1026" alt="&quot;&quot;" style="position:absolute;margin-left:2pt;margin-top:4.95pt;width:156.6pt;height:171pt;z-index:251659776;mso-width-relative:margin" coordsize="19889,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PgMAAIoJAAAOAAAAZHJzL2Uyb0RvYy54bWzcVslu2zAQvRfoPxC8N1rseBEiB05SBwWC&#10;JEhS5ExTlCVAIlmStuR+fYfUYsdOtxQFivpAk+IMZ+Zx3pPOzuuyQBumdC54jIMTHyPGqUhyvorx&#10;56fFhwlG2hCekEJwFuMt0/h89v7dWSUjFopMFAlTCA7hOqpkjDNjZOR5mmasJPpESMZhMxWqJAaW&#10;auUlilRwell4oe+PvEqoRCpBmdbw9KrZxDN3fpoyau7SVDODihhDbsaNyo1LO3qzMxKtFJFZTts0&#10;yBuyKEnOIWh/1BUxBK1VfnRUmVMltEjNCRWlJ9I0p8zVANUE/kE110qspatlFVUr2cME0B7g9OZj&#10;6e3mWslHea8AiUquAAu3srXUqSrtP2SJagfZtoeM1QZReBhMJ5NJCMhS2AuDcTD2W1BpBsgf+dHs&#10;457ndDo48vS6wN6LdCoJDaJ3GOg/w+AxI5I5aHUEGNwrlCdQDUaclNCmD/kqM+hCEcpQYJvEhge7&#10;HigdacDsV1Ea+8PJ6TFIfakkkkqbayZKZCcxVja+C++6imxutIEswKEztKELbkctijxZ5EXhFmq1&#10;vCwU2hBo+MXCh59NHxz3zGBlXQHgrgw3M9uCNcc+sBTwsNfrwjs2sv5YQinjxsHiTgJr65ZCCr2j&#10;/3PH1t66MsfU33HuPVxkwU3vXOZcqNeim7pLOW3sOwSaui0ES5FsoRWUaHRCS7rI4T5uiDb3RIEw&#10;wB2C2Jk7GNJCVDEW7QyjTKivrz239tCrsItRBUITY/1lTRTDqPjEoYunwXBolckthqdjSya1v7Pc&#10;3+Hr8lLA1UKnQnZuau1N0U1TJcpn0MS5jQpbhFOIHWNqVLe4NI0AgqpSNp87M1AjScwNf5S0u3Xb&#10;aU/1M1GybUoDpL8VHXNIdNCVja29Dy7mayPS3LXsDtcWb2Bxw6e/Tuewo/OTlasLUaPwgMvI1PDY&#10;Vtxy/DusHgXjgdUqELnhaDQOT6099G2nZYNxMAKmORUMwtFo0lgAPToR7XjbERzeTD+i9h5bgbr2&#10;bbjjX9Fz74VVwRE05GgAQmNze7Gn3y4Lpl7WLTj/MT3Mv0QO9+aDF77T7fbjxH5R7K8dmXafULNv&#10;AAAA//8DAFBLAwQUAAYACAAAACEAtmIkI98AAAAHAQAADwAAAGRycy9kb3ducmV2LnhtbEyPwU7D&#10;MBBE70j8g7VI3KjjlgIJcaqqAk4VEi0S4raNt0nUeB3FbpL+PeYEtx3NaOZtvppsKwbqfeNYg5ol&#10;IIhLZxquNHzuX++eQPiAbLB1TBou5GFVXF/lmBk38gcNu1CJWMI+Qw11CF0mpS9rsuhnriOO3tH1&#10;FkOUfSVNj2Mst62cJ8mDtNhwXKixo01N5Wl3threRhzXC/UybE/HzeV7v3z/2irS+vZmWj+DCDSF&#10;vzD84kd0KCLTwZ3ZeNFquI+fBA1pCiK6C/U4B3GIx1KlIItc/ucvfgAAAP//AwBQSwECLQAUAAYA&#10;CAAAACEAtoM4kv4AAADhAQAAEwAAAAAAAAAAAAAAAAAAAAAAW0NvbnRlbnRfVHlwZXNdLnhtbFBL&#10;AQItABQABgAIAAAAIQA4/SH/1gAAAJQBAAALAAAAAAAAAAAAAAAAAC8BAABfcmVscy8ucmVsc1BL&#10;AQItABQABgAIAAAAIQA8+VJrPgMAAIoJAAAOAAAAAAAAAAAAAAAAAC4CAABkcnMvZTJvRG9jLnht&#10;bFBLAQItABQABgAIAAAAIQC2YiQj3wAAAAcBAAAPAAAAAAAAAAAAAAAAAJgFAABkcnMvZG93bnJl&#10;di54bWxQSwUGAAAAAAQABADzAAAApAY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7" type="#_x0000_t88" style="position:absolute;width:7048;height:21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n6WwQAAANoAAAAPAAAAZHJzL2Rvd25yZXYueG1sRE/basJA&#10;EH0v+A/LCL7VjYJVoqtotaWoCN7wdciOSWx2NmS3Gv++Kwg+DYdzndGkNoW4UuVyywo67QgEcWJ1&#10;zqmCw/7rfQDCeWSNhWVScCcHk3HjbYSxtjfe0nXnUxFC2MWoIPO+jKV0SUYGXduWxIE728qgD7BK&#10;pa7wFsJNIbtR9CEN5hwaMizpM6Pkd/dnFGDHlMfTvL9cLBer2ea7t0ZzWSvVatbTIQhPtX+Jn+4f&#10;HebD45XHleN/AAAA//8DAFBLAQItABQABgAIAAAAIQDb4fbL7gAAAIUBAAATAAAAAAAAAAAAAAAA&#10;AAAAAABbQ29udGVudF9UeXBlc10ueG1sUEsBAi0AFAAGAAgAAAAhAFr0LFu/AAAAFQEAAAsAAAAA&#10;AAAAAAAAAAAAHwEAAF9yZWxzLy5yZWxzUEsBAi0AFAAGAAgAAAAhAKkyfpbBAAAA2gAAAA8AAAAA&#10;AAAAAAAAAAAABwIAAGRycy9kb3ducmV2LnhtbFBLBQYAAAAAAwADALcAAAD1AgAAAAA=&#10;" adj="584" strokecolor="red"/>
                      <v:shapetype id="_x0000_t202" coordsize="21600,21600" o:spt="202" path="m,l,21600r21600,l21600,xe">
                        <v:stroke joinstyle="miter"/>
                        <v:path gradientshapeok="t" o:connecttype="rect"/>
                      </v:shapetype>
                      <v:shape id="Text Box 2" o:spid="_x0000_s1028" type="#_x0000_t202" style="position:absolute;left:6173;top:4667;width:13716;height:1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TawgAAANoAAAAPAAAAZHJzL2Rvd25yZXYueG1sRI9Ba8JA&#10;FITvgv9heUJvujGFKqmrSEtb8WYUobdH9pkEs2/D7jaJ/94tCB6HmfmGWW0G04iOnK8tK5jPEhDE&#10;hdU1lwpOx6/pEoQPyBoby6TgRh426/FohZm2PR+oy0MpIoR9hgqqENpMSl9UZNDPbEscvYt1BkOU&#10;rpTaYR/hppFpkrxJgzXHhQpb+qiouOZ/RsH+82cRLvnpNS/33/1vN0/x5s5KvUyG7TuIQEN4hh/t&#10;nVaQwv+VeAPk+g4AAP//AwBQSwECLQAUAAYACAAAACEA2+H2y+4AAACFAQAAEwAAAAAAAAAAAAAA&#10;AAAAAAAAW0NvbnRlbnRfVHlwZXNdLnhtbFBLAQItABQABgAIAAAAIQBa9CxbvwAAABUBAAALAAAA&#10;AAAAAAAAAAAAAB8BAABfcmVscy8ucmVsc1BLAQItABQABgAIAAAAIQBiZNTawgAAANoAAAAPAAAA&#10;AAAAAAAAAAAAAAcCAABkcnMvZG93bnJldi54bWxQSwUGAAAAAAMAAwC3AAAA9gIAAAAA&#10;" fillcolor="white [3201]" strokecolor="red" strokeweight=".5pt">
                        <v:textbox>
                          <w:txbxContent>
                            <w:p w14:paraId="6C815900" w14:textId="69118A23" w:rsidR="002018CF" w:rsidRPr="00785EC3" w:rsidRDefault="002018CF">
                              <w:r>
                                <w:t xml:space="preserve">Nouveaux critères nationaux pondérés inclus dans les critères cotés </w:t>
                              </w:r>
                            </w:p>
                          </w:txbxContent>
                        </v:textbox>
                      </v:shape>
                    </v:group>
                  </w:pict>
                </mc:Fallback>
              </mc:AlternateContent>
            </w:r>
            <w:r>
              <w:rPr>
                <w:b/>
                <w:bCs/>
                <w:szCs w:val="24"/>
              </w:rPr>
              <w:t>10 %</w:t>
            </w:r>
            <w:bookmarkEnd w:id="78"/>
          </w:p>
        </w:tc>
      </w:tr>
      <w:tr w:rsidR="00BB49A5" w:rsidRPr="000202DB" w14:paraId="54703B6C" w14:textId="77777777" w:rsidTr="00D51BE0">
        <w:trPr>
          <w:trHeight w:val="70"/>
        </w:trPr>
        <w:tc>
          <w:tcPr>
            <w:tcW w:w="1174" w:type="pct"/>
          </w:tcPr>
          <w:p w14:paraId="2DA13243" w14:textId="77777777" w:rsidR="00A35D0C" w:rsidRPr="000202DB" w:rsidRDefault="00A35D0C" w:rsidP="00264B5C">
            <w:pPr>
              <w:spacing w:after="240"/>
              <w:rPr>
                <w:rFonts w:eastAsia="Times New Roman" w:cs="Times New Roman"/>
                <w:szCs w:val="24"/>
                <w:lang w:val="en-CA" w:eastAsia="en-CA"/>
              </w:rPr>
            </w:pPr>
          </w:p>
        </w:tc>
        <w:tc>
          <w:tcPr>
            <w:tcW w:w="1104" w:type="pct"/>
          </w:tcPr>
          <w:p w14:paraId="1C11F9CD" w14:textId="77777777" w:rsidR="00A35D0C" w:rsidRPr="000202DB" w:rsidRDefault="00A35D0C" w:rsidP="00264B5C">
            <w:pPr>
              <w:spacing w:after="240"/>
              <w:rPr>
                <w:rFonts w:eastAsia="Times New Roman" w:cs="Times New Roman"/>
                <w:szCs w:val="24"/>
                <w:lang w:val="en-CA" w:eastAsia="en-CA"/>
              </w:rPr>
            </w:pPr>
          </w:p>
        </w:tc>
        <w:tc>
          <w:tcPr>
            <w:tcW w:w="1324" w:type="pct"/>
          </w:tcPr>
          <w:p w14:paraId="78A8EF8E" w14:textId="3EEC4DB2" w:rsidR="00A35D0C" w:rsidRPr="000202DB" w:rsidRDefault="00E85D83" w:rsidP="00264B5C">
            <w:pPr>
              <w:spacing w:after="240"/>
              <w:rPr>
                <w:rFonts w:eastAsia="Times New Roman" w:cs="Times New Roman"/>
                <w:b/>
                <w:bCs/>
                <w:szCs w:val="24"/>
              </w:rPr>
            </w:pPr>
            <w:r>
              <w:rPr>
                <w:b/>
                <w:bCs/>
                <w:szCs w:val="24"/>
              </w:rPr>
              <w:t xml:space="preserve">Réactivité de l’entreprise </w:t>
            </w:r>
          </w:p>
        </w:tc>
        <w:tc>
          <w:tcPr>
            <w:tcW w:w="1398" w:type="pct"/>
          </w:tcPr>
          <w:p w14:paraId="03FB22BC" w14:textId="662DAFF2" w:rsidR="00A35D0C" w:rsidRPr="000202DB" w:rsidRDefault="00FE2DC6" w:rsidP="00264B5C">
            <w:pPr>
              <w:spacing w:after="240"/>
              <w:rPr>
                <w:rFonts w:eastAsia="Times New Roman" w:cs="Times New Roman"/>
                <w:b/>
                <w:bCs/>
                <w:szCs w:val="24"/>
              </w:rPr>
            </w:pPr>
            <w:bookmarkStart w:id="79" w:name="_Toc56082400"/>
            <w:r>
              <w:rPr>
                <w:b/>
                <w:bCs/>
                <w:szCs w:val="24"/>
              </w:rPr>
              <w:t>10 %</w:t>
            </w:r>
            <w:bookmarkEnd w:id="79"/>
          </w:p>
        </w:tc>
      </w:tr>
      <w:tr w:rsidR="00BB49A5" w:rsidRPr="000202DB" w14:paraId="2555E304" w14:textId="77777777" w:rsidTr="00D51BE0">
        <w:tc>
          <w:tcPr>
            <w:tcW w:w="1174" w:type="pct"/>
          </w:tcPr>
          <w:p w14:paraId="70A46FC1" w14:textId="77777777" w:rsidR="00A35D0C" w:rsidRPr="000202DB" w:rsidRDefault="00A35D0C" w:rsidP="00264B5C">
            <w:pPr>
              <w:spacing w:after="240"/>
              <w:rPr>
                <w:rFonts w:eastAsia="Times New Roman" w:cs="Times New Roman"/>
                <w:szCs w:val="24"/>
                <w:lang w:val="en-CA" w:eastAsia="en-CA"/>
              </w:rPr>
            </w:pPr>
          </w:p>
        </w:tc>
        <w:tc>
          <w:tcPr>
            <w:tcW w:w="1104" w:type="pct"/>
          </w:tcPr>
          <w:p w14:paraId="6F6030ED" w14:textId="77777777" w:rsidR="00A35D0C" w:rsidRPr="000202DB" w:rsidRDefault="00A35D0C" w:rsidP="00264B5C">
            <w:pPr>
              <w:spacing w:after="240"/>
              <w:rPr>
                <w:rFonts w:eastAsia="Times New Roman" w:cs="Times New Roman"/>
                <w:szCs w:val="24"/>
                <w:lang w:val="en-CA" w:eastAsia="en-CA"/>
              </w:rPr>
            </w:pPr>
          </w:p>
        </w:tc>
        <w:tc>
          <w:tcPr>
            <w:tcW w:w="1324" w:type="pct"/>
          </w:tcPr>
          <w:p w14:paraId="5841F101" w14:textId="5D0D09FB" w:rsidR="00A35D0C" w:rsidRPr="000202DB" w:rsidRDefault="00E85D83" w:rsidP="00264B5C">
            <w:pPr>
              <w:spacing w:after="240"/>
              <w:rPr>
                <w:rFonts w:eastAsia="Times New Roman" w:cs="Times New Roman"/>
                <w:b/>
              </w:rPr>
            </w:pPr>
            <w:r>
              <w:rPr>
                <w:b/>
              </w:rPr>
              <w:t>Avantages locaux</w:t>
            </w:r>
          </w:p>
        </w:tc>
        <w:tc>
          <w:tcPr>
            <w:tcW w:w="1398" w:type="pct"/>
          </w:tcPr>
          <w:p w14:paraId="74C78568" w14:textId="01C3B49E" w:rsidR="00A35D0C" w:rsidRPr="000202DB" w:rsidRDefault="00FE2DC6" w:rsidP="00264B5C">
            <w:pPr>
              <w:spacing w:after="240"/>
              <w:rPr>
                <w:rFonts w:eastAsia="Times New Roman" w:cs="Times New Roman"/>
                <w:b/>
              </w:rPr>
            </w:pPr>
            <w:bookmarkStart w:id="80" w:name="_Toc56082402"/>
            <w:r>
              <w:rPr>
                <w:b/>
              </w:rPr>
              <w:t>5 %</w:t>
            </w:r>
            <w:bookmarkEnd w:id="80"/>
          </w:p>
        </w:tc>
      </w:tr>
      <w:tr w:rsidR="00BB49A5" w:rsidRPr="000202DB" w14:paraId="6B7164A6" w14:textId="77777777" w:rsidTr="00D51BE0">
        <w:tc>
          <w:tcPr>
            <w:tcW w:w="1174" w:type="pct"/>
          </w:tcPr>
          <w:p w14:paraId="6AF2CA38" w14:textId="1C25A777" w:rsidR="00A35D0C" w:rsidRPr="000202DB" w:rsidRDefault="00F65B44" w:rsidP="00264B5C">
            <w:pPr>
              <w:spacing w:after="240"/>
              <w:rPr>
                <w:rFonts w:eastAsia="Times New Roman" w:cs="Times New Roman"/>
                <w:szCs w:val="24"/>
              </w:rPr>
            </w:pPr>
            <w:r>
              <w:t>Prix</w:t>
            </w:r>
          </w:p>
        </w:tc>
        <w:tc>
          <w:tcPr>
            <w:tcW w:w="1104" w:type="pct"/>
          </w:tcPr>
          <w:p w14:paraId="7F44C844" w14:textId="5011AA0D" w:rsidR="00A35D0C" w:rsidRPr="000202DB" w:rsidRDefault="00E85D83" w:rsidP="00264B5C">
            <w:pPr>
              <w:spacing w:after="240"/>
              <w:rPr>
                <w:rFonts w:eastAsia="Times New Roman" w:cs="Times New Roman"/>
                <w:szCs w:val="24"/>
              </w:rPr>
            </w:pPr>
            <w:r>
              <w:t>30 %</w:t>
            </w:r>
          </w:p>
        </w:tc>
        <w:tc>
          <w:tcPr>
            <w:tcW w:w="1324" w:type="pct"/>
          </w:tcPr>
          <w:p w14:paraId="0CC3D7B6" w14:textId="77777777" w:rsidR="00A35D0C" w:rsidRPr="000202DB" w:rsidRDefault="00A35D0C" w:rsidP="00264B5C">
            <w:pPr>
              <w:spacing w:after="240"/>
              <w:rPr>
                <w:rFonts w:eastAsia="Times New Roman" w:cs="Times New Roman"/>
                <w:szCs w:val="24"/>
              </w:rPr>
            </w:pPr>
            <w:bookmarkStart w:id="81" w:name="_Toc56082404"/>
            <w:r>
              <w:t>Prix</w:t>
            </w:r>
            <w:bookmarkEnd w:id="81"/>
          </w:p>
        </w:tc>
        <w:tc>
          <w:tcPr>
            <w:tcW w:w="1398" w:type="pct"/>
          </w:tcPr>
          <w:p w14:paraId="50371019" w14:textId="4D9D6B30" w:rsidR="00A35D0C" w:rsidRPr="000202DB" w:rsidRDefault="00A35D0C" w:rsidP="00264B5C">
            <w:pPr>
              <w:spacing w:after="240"/>
              <w:rPr>
                <w:rFonts w:eastAsia="Times New Roman" w:cs="Times New Roman"/>
                <w:b/>
                <w:bCs/>
                <w:szCs w:val="24"/>
              </w:rPr>
            </w:pPr>
            <w:bookmarkStart w:id="82" w:name="_Toc56082405"/>
            <w:r>
              <w:rPr>
                <w:b/>
                <w:bCs/>
                <w:szCs w:val="24"/>
              </w:rPr>
              <w:t>20 %</w:t>
            </w:r>
            <w:bookmarkEnd w:id="82"/>
          </w:p>
        </w:tc>
      </w:tr>
    </w:tbl>
    <w:p w14:paraId="3A20C0C5" w14:textId="4F13198B" w:rsidR="00915A3F" w:rsidRDefault="00915A3F" w:rsidP="00264B5C">
      <w:pPr>
        <w:spacing w:before="0" w:line="259" w:lineRule="auto"/>
        <w:rPr>
          <w:b/>
          <w:bCs/>
          <w:smallCaps/>
        </w:rPr>
      </w:pPr>
      <w:bookmarkStart w:id="83" w:name="_Toc85441686"/>
      <w:bookmarkStart w:id="84" w:name="_Toc85441784"/>
      <w:bookmarkStart w:id="85" w:name="_Toc85441881"/>
      <w:bookmarkStart w:id="86" w:name="_Toc85441687"/>
      <w:bookmarkStart w:id="87" w:name="_Toc85441785"/>
      <w:bookmarkStart w:id="88" w:name="_Toc85441882"/>
      <w:bookmarkStart w:id="89" w:name="_Toc85441688"/>
      <w:bookmarkStart w:id="90" w:name="_Toc85441786"/>
      <w:bookmarkStart w:id="91" w:name="_Toc85441883"/>
      <w:bookmarkStart w:id="92" w:name="_Toc85441689"/>
      <w:bookmarkStart w:id="93" w:name="_Toc85441787"/>
      <w:bookmarkStart w:id="94" w:name="_Toc85441884"/>
      <w:bookmarkStart w:id="95" w:name="_Toc85441691"/>
      <w:bookmarkStart w:id="96" w:name="_Toc85441789"/>
      <w:bookmarkStart w:id="97" w:name="_Toc85441886"/>
      <w:bookmarkStart w:id="98" w:name="_Toc85441693"/>
      <w:bookmarkStart w:id="99" w:name="_Toc85441791"/>
      <w:bookmarkStart w:id="100" w:name="_Toc85441888"/>
      <w:bookmarkStart w:id="101" w:name="_Toc85441694"/>
      <w:bookmarkStart w:id="102" w:name="_Toc85441792"/>
      <w:bookmarkStart w:id="103" w:name="_Toc85441889"/>
      <w:bookmarkStart w:id="104" w:name="_Toc85441695"/>
      <w:bookmarkStart w:id="105" w:name="_Toc85441793"/>
      <w:bookmarkStart w:id="106" w:name="_Toc85441890"/>
      <w:bookmarkStart w:id="107" w:name="_Toc85441696"/>
      <w:bookmarkStart w:id="108" w:name="_Toc85441794"/>
      <w:bookmarkStart w:id="109" w:name="_Toc85441891"/>
      <w:bookmarkStart w:id="110" w:name="_Toc85441698"/>
      <w:bookmarkStart w:id="111" w:name="_Toc85441796"/>
      <w:bookmarkStart w:id="112" w:name="_Toc85441893"/>
      <w:bookmarkStart w:id="113" w:name="_Toc85441699"/>
      <w:bookmarkStart w:id="114" w:name="_Toc85441797"/>
      <w:bookmarkStart w:id="115" w:name="_Toc85441894"/>
      <w:bookmarkStart w:id="116" w:name="_Toc85441700"/>
      <w:bookmarkStart w:id="117" w:name="_Toc85441798"/>
      <w:bookmarkStart w:id="118" w:name="_Toc85441895"/>
      <w:bookmarkStart w:id="119" w:name="_Toc85441701"/>
      <w:bookmarkStart w:id="120" w:name="_Toc85441799"/>
      <w:bookmarkStart w:id="121" w:name="_Toc85441896"/>
      <w:bookmarkStart w:id="122" w:name="_Toc85441703"/>
      <w:bookmarkStart w:id="123" w:name="_Toc85441801"/>
      <w:bookmarkStart w:id="124" w:name="_Toc85441898"/>
      <w:bookmarkStart w:id="125" w:name="_Toc85441704"/>
      <w:bookmarkStart w:id="126" w:name="_Toc85441802"/>
      <w:bookmarkStart w:id="127" w:name="_Toc85441899"/>
      <w:bookmarkStart w:id="128" w:name="_Toc85441705"/>
      <w:bookmarkStart w:id="129" w:name="_Toc85441803"/>
      <w:bookmarkStart w:id="130" w:name="_Toc85441900"/>
      <w:bookmarkStart w:id="131" w:name="_Toc85441706"/>
      <w:bookmarkStart w:id="132" w:name="_Toc85441804"/>
      <w:bookmarkStart w:id="133" w:name="_Toc85441901"/>
      <w:bookmarkStart w:id="134" w:name="_Toc85441708"/>
      <w:bookmarkStart w:id="135" w:name="_Toc85441806"/>
      <w:bookmarkStart w:id="136" w:name="_Toc85441903"/>
      <w:bookmarkStart w:id="137" w:name="_Toc85441710"/>
      <w:bookmarkStart w:id="138" w:name="_Toc85441808"/>
      <w:bookmarkStart w:id="139" w:name="_Toc85441905"/>
      <w:bookmarkStart w:id="140" w:name="_Toc85441711"/>
      <w:bookmarkStart w:id="141" w:name="_Toc85441809"/>
      <w:bookmarkStart w:id="142" w:name="_Toc85441906"/>
      <w:bookmarkStart w:id="143" w:name="_Toc85441712"/>
      <w:bookmarkStart w:id="144" w:name="_Toc85441810"/>
      <w:bookmarkStart w:id="145" w:name="_Toc85441907"/>
      <w:bookmarkStart w:id="146" w:name="_Toc85441713"/>
      <w:bookmarkStart w:id="147" w:name="_Toc85441811"/>
      <w:bookmarkStart w:id="148" w:name="_Toc85441908"/>
      <w:bookmarkStart w:id="149" w:name="_Toc85441715"/>
      <w:bookmarkStart w:id="150" w:name="_Toc85441813"/>
      <w:bookmarkStart w:id="151" w:name="_Toc85441910"/>
      <w:bookmarkStart w:id="152" w:name="_Toc85441716"/>
      <w:bookmarkStart w:id="153" w:name="_Toc85441814"/>
      <w:bookmarkStart w:id="154" w:name="_Toc85441911"/>
      <w:bookmarkStart w:id="155" w:name="_Toc85441717"/>
      <w:bookmarkStart w:id="156" w:name="_Toc85441815"/>
      <w:bookmarkStart w:id="157" w:name="_Toc85441912"/>
      <w:bookmarkStart w:id="158" w:name="_Toc85441718"/>
      <w:bookmarkStart w:id="159" w:name="_Toc85441816"/>
      <w:bookmarkStart w:id="160" w:name="_Toc85441913"/>
      <w:bookmarkStart w:id="161" w:name="_Toc85441720"/>
      <w:bookmarkStart w:id="162" w:name="_Toc85441818"/>
      <w:bookmarkStart w:id="163" w:name="_Toc85441915"/>
      <w:bookmarkStart w:id="164" w:name="_Toc85441721"/>
      <w:bookmarkStart w:id="165" w:name="_Toc85441819"/>
      <w:bookmarkStart w:id="166" w:name="_Toc85441916"/>
      <w:bookmarkStart w:id="167" w:name="_Toc85441722"/>
      <w:bookmarkStart w:id="168" w:name="_Toc85441820"/>
      <w:bookmarkStart w:id="169" w:name="_Toc85441917"/>
      <w:bookmarkStart w:id="170" w:name="_Toc85441723"/>
      <w:bookmarkStart w:id="171" w:name="_Toc85441821"/>
      <w:bookmarkStart w:id="172" w:name="_Toc85441918"/>
      <w:bookmarkStart w:id="173" w:name="_Toc85441725"/>
      <w:bookmarkStart w:id="174" w:name="_Toc85441823"/>
      <w:bookmarkStart w:id="175" w:name="_Toc85441920"/>
      <w:bookmarkStart w:id="176" w:name="_Toc85441727"/>
      <w:bookmarkStart w:id="177" w:name="_Toc85441825"/>
      <w:bookmarkStart w:id="178" w:name="_Toc85441922"/>
      <w:bookmarkStart w:id="179" w:name="_Toc85441728"/>
      <w:bookmarkStart w:id="180" w:name="_Toc85441826"/>
      <w:bookmarkStart w:id="181" w:name="_Toc85441923"/>
      <w:bookmarkStart w:id="182" w:name="_Toc85441729"/>
      <w:bookmarkStart w:id="183" w:name="_Toc85441827"/>
      <w:bookmarkStart w:id="184" w:name="_Toc85441924"/>
      <w:bookmarkStart w:id="185" w:name="_Toc85441731"/>
      <w:bookmarkStart w:id="186" w:name="_Toc85441829"/>
      <w:bookmarkStart w:id="187" w:name="_Toc85441926"/>
      <w:bookmarkStart w:id="188" w:name="_Toc85441732"/>
      <w:bookmarkStart w:id="189" w:name="_Toc85441830"/>
      <w:bookmarkStart w:id="190" w:name="_Toc85441927"/>
      <w:bookmarkStart w:id="191" w:name="_Toc85441734"/>
      <w:bookmarkStart w:id="192" w:name="_Toc85441832"/>
      <w:bookmarkStart w:id="193" w:name="_Toc85441929"/>
      <w:bookmarkStart w:id="194" w:name="_Toc85441735"/>
      <w:bookmarkStart w:id="195" w:name="_Toc85441833"/>
      <w:bookmarkStart w:id="196" w:name="_Toc85441930"/>
      <w:bookmarkStart w:id="197" w:name="_Toc85441737"/>
      <w:bookmarkStart w:id="198" w:name="_Toc85441835"/>
      <w:bookmarkStart w:id="199" w:name="_Toc85441932"/>
      <w:bookmarkStart w:id="200" w:name="_Toc85441739"/>
      <w:bookmarkStart w:id="201" w:name="_Toc85441837"/>
      <w:bookmarkStart w:id="202" w:name="_Toc85441934"/>
      <w:bookmarkStart w:id="203" w:name="_Toc85441740"/>
      <w:bookmarkStart w:id="204" w:name="_Toc85441838"/>
      <w:bookmarkStart w:id="205" w:name="_Toc85441935"/>
      <w:bookmarkStart w:id="206" w:name="_Toc85441741"/>
      <w:bookmarkStart w:id="207" w:name="_Toc85441839"/>
      <w:bookmarkStart w:id="208" w:name="_Toc85441936"/>
      <w:bookmarkStart w:id="209" w:name="_Toc85441743"/>
      <w:bookmarkStart w:id="210" w:name="_Toc85441841"/>
      <w:bookmarkStart w:id="211" w:name="_Toc85441938"/>
      <w:bookmarkStart w:id="212" w:name="_Toc85441744"/>
      <w:bookmarkStart w:id="213" w:name="_Toc85441842"/>
      <w:bookmarkStart w:id="214" w:name="_Toc85441939"/>
      <w:bookmarkStart w:id="215" w:name="_Toc85441746"/>
      <w:bookmarkStart w:id="216" w:name="_Toc85441844"/>
      <w:bookmarkStart w:id="217" w:name="_Toc85441941"/>
      <w:bookmarkStart w:id="218" w:name="_Toc85441747"/>
      <w:bookmarkStart w:id="219" w:name="_Toc85441845"/>
      <w:bookmarkStart w:id="220" w:name="_Toc85441942"/>
      <w:bookmarkStart w:id="221" w:name="_Toc85441749"/>
      <w:bookmarkStart w:id="222" w:name="_Toc85441847"/>
      <w:bookmarkStart w:id="223" w:name="_Toc85441944"/>
      <w:bookmarkStart w:id="224" w:name="_Toc85441750"/>
      <w:bookmarkStart w:id="225" w:name="_Toc85441848"/>
      <w:bookmarkStart w:id="226" w:name="_Toc85441945"/>
      <w:bookmarkStart w:id="227" w:name="_Toc8260159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lastRenderedPageBreak/>
        <w:br w:type="page"/>
      </w:r>
    </w:p>
    <w:p w14:paraId="2131D2A7" w14:textId="0FEEDC30" w:rsidR="00915A3F" w:rsidRPr="000202DB" w:rsidRDefault="00915A3F" w:rsidP="006F3345">
      <w:pPr>
        <w:pStyle w:val="Heading2"/>
      </w:pPr>
      <w:bookmarkStart w:id="228" w:name="_Appendix_C:_List_1"/>
      <w:bookmarkStart w:id="229" w:name="_Toc175666959"/>
      <w:bookmarkEnd w:id="228"/>
      <w:r>
        <w:lastRenderedPageBreak/>
        <w:t>Annexe C : Liste des accords commerciaux et des pays membres</w:t>
      </w:r>
      <w:bookmarkEnd w:id="229"/>
    </w:p>
    <w:p w14:paraId="02A4435D" w14:textId="229C97A6" w:rsidR="00F906EE" w:rsidRPr="003152AC" w:rsidRDefault="00F906EE" w:rsidP="00413F5E">
      <w:pPr>
        <w:pStyle w:val="ListParagraph"/>
        <w:numPr>
          <w:ilvl w:val="0"/>
          <w:numId w:val="36"/>
        </w:numPr>
        <w:spacing w:after="240" w:line="240" w:lineRule="auto"/>
        <w:ind w:left="360"/>
        <w:rPr>
          <w:rFonts w:eastAsia="Times New Roman" w:cs="Arial"/>
          <w:b/>
          <w:bCs/>
          <w:szCs w:val="24"/>
        </w:rPr>
      </w:pPr>
      <w:bookmarkStart w:id="230" w:name="_Appendix_C:_List"/>
      <w:bookmarkEnd w:id="227"/>
      <w:bookmarkEnd w:id="230"/>
      <w:r>
        <w:rPr>
          <w:b/>
          <w:bCs/>
          <w:szCs w:val="24"/>
        </w:rPr>
        <w:t>Accord de Partenariat transpacifique global et progressiste (PTPGP)</w:t>
      </w:r>
    </w:p>
    <w:p w14:paraId="17A851D0" w14:textId="75C4F68C" w:rsidR="00D41DAE" w:rsidRPr="00C52E54" w:rsidRDefault="0007788D" w:rsidP="005A38CB">
      <w:pPr>
        <w:spacing w:after="240" w:line="240" w:lineRule="auto"/>
      </w:pPr>
      <w:r>
        <w:t>Au 12 juillet 2023, le PTPGP était en vigueur pour les 11 parties ci-dessous.</w:t>
      </w:r>
    </w:p>
    <w:p w14:paraId="2F57533C" w14:textId="49D92A4F" w:rsidR="00D41DAE" w:rsidRPr="00C52E54" w:rsidRDefault="0007788D" w:rsidP="005A38CB">
      <w:pPr>
        <w:spacing w:after="240" w:line="240" w:lineRule="auto"/>
      </w:pPr>
      <w:r>
        <w:t xml:space="preserve">Le Royaume-Uni a signé un protocole d’adhésion au PTPGP le 16 juillet 2023. Le PPTGP entrera en vigueur pour le Royaume-Uni une fois que tous les membres du PPTGP et le Royaume-Uni auront achevé leur processus de ratification respectif. </w:t>
      </w:r>
    </w:p>
    <w:p w14:paraId="142B14F1" w14:textId="77777777" w:rsidR="00C70957" w:rsidRDefault="00C70957" w:rsidP="005A38CB">
      <w:pPr>
        <w:spacing w:after="240" w:line="240" w:lineRule="auto"/>
        <w:rPr>
          <w:b/>
          <w:bCs/>
        </w:rPr>
      </w:pPr>
      <w:r>
        <w:rPr>
          <w:b/>
          <w:bCs/>
        </w:rPr>
        <w:t>Parties à l’accord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0957" w14:paraId="72B92C33" w14:textId="77777777" w:rsidTr="002018CF">
        <w:trPr>
          <w:trHeight w:val="431"/>
        </w:trPr>
        <w:tc>
          <w:tcPr>
            <w:tcW w:w="3116" w:type="dxa"/>
          </w:tcPr>
          <w:p w14:paraId="53CF2C7A" w14:textId="0D6F66A3" w:rsidR="00C70957" w:rsidRPr="005A38CB" w:rsidRDefault="00C70957" w:rsidP="00413F5E">
            <w:pPr>
              <w:pStyle w:val="ListParagraph"/>
              <w:numPr>
                <w:ilvl w:val="0"/>
                <w:numId w:val="42"/>
              </w:numPr>
              <w:spacing w:before="0" w:after="0" w:line="240" w:lineRule="auto"/>
              <w:jc w:val="both"/>
              <w:rPr>
                <w:rFonts w:eastAsia="Times New Roman" w:cs="Arial"/>
                <w:szCs w:val="24"/>
              </w:rPr>
            </w:pPr>
            <w:r>
              <w:t xml:space="preserve">Australie </w:t>
            </w:r>
          </w:p>
        </w:tc>
        <w:tc>
          <w:tcPr>
            <w:tcW w:w="3117" w:type="dxa"/>
          </w:tcPr>
          <w:p w14:paraId="4DEA36BC" w14:textId="77777777" w:rsidR="00C70957" w:rsidRPr="001F12F8" w:rsidRDefault="00C70957" w:rsidP="002018CF">
            <w:pPr>
              <w:spacing w:before="0" w:after="0" w:line="240" w:lineRule="auto"/>
              <w:ind w:left="357"/>
              <w:jc w:val="both"/>
              <w:rPr>
                <w:rFonts w:eastAsia="Times New Roman" w:cs="Arial"/>
                <w:szCs w:val="24"/>
              </w:rPr>
            </w:pPr>
            <w:r>
              <w:t xml:space="preserve">5. Japon </w:t>
            </w:r>
          </w:p>
        </w:tc>
        <w:tc>
          <w:tcPr>
            <w:tcW w:w="3117" w:type="dxa"/>
          </w:tcPr>
          <w:p w14:paraId="2D42B226" w14:textId="77777777" w:rsidR="00C70957" w:rsidRPr="001F12F8" w:rsidRDefault="00C70957" w:rsidP="002018CF">
            <w:pPr>
              <w:spacing w:before="0" w:after="0" w:line="240" w:lineRule="auto"/>
              <w:ind w:left="357"/>
              <w:jc w:val="both"/>
              <w:rPr>
                <w:rFonts w:eastAsia="Times New Roman" w:cs="Arial"/>
                <w:szCs w:val="24"/>
              </w:rPr>
            </w:pPr>
            <w:r>
              <w:t>9. Pérou</w:t>
            </w:r>
          </w:p>
        </w:tc>
      </w:tr>
      <w:tr w:rsidR="00C70957" w14:paraId="0A147CEA" w14:textId="77777777" w:rsidTr="002018CF">
        <w:trPr>
          <w:trHeight w:val="311"/>
        </w:trPr>
        <w:tc>
          <w:tcPr>
            <w:tcW w:w="3116" w:type="dxa"/>
          </w:tcPr>
          <w:p w14:paraId="44E19CE9" w14:textId="77777777" w:rsidR="00C70957" w:rsidRPr="001F12F8" w:rsidRDefault="00C70957" w:rsidP="00413F5E">
            <w:pPr>
              <w:pStyle w:val="ListParagraph"/>
              <w:numPr>
                <w:ilvl w:val="0"/>
                <w:numId w:val="42"/>
              </w:numPr>
              <w:spacing w:before="0" w:after="0" w:line="240" w:lineRule="auto"/>
              <w:jc w:val="both"/>
              <w:rPr>
                <w:rFonts w:eastAsia="Times New Roman" w:cs="Arial"/>
                <w:szCs w:val="24"/>
              </w:rPr>
            </w:pPr>
            <w:r>
              <w:t>Brunei</w:t>
            </w:r>
          </w:p>
        </w:tc>
        <w:tc>
          <w:tcPr>
            <w:tcW w:w="3117" w:type="dxa"/>
          </w:tcPr>
          <w:p w14:paraId="1E4D5E34" w14:textId="77777777" w:rsidR="00C70957" w:rsidRPr="001F12F8" w:rsidRDefault="00C70957" w:rsidP="002018CF">
            <w:pPr>
              <w:spacing w:before="0" w:after="0" w:line="240" w:lineRule="auto"/>
              <w:ind w:left="357"/>
              <w:jc w:val="both"/>
              <w:rPr>
                <w:rFonts w:eastAsia="Times New Roman" w:cs="Arial"/>
                <w:szCs w:val="24"/>
              </w:rPr>
            </w:pPr>
            <w:r>
              <w:t>6. Malaisie</w:t>
            </w:r>
          </w:p>
        </w:tc>
        <w:tc>
          <w:tcPr>
            <w:tcW w:w="3117" w:type="dxa"/>
          </w:tcPr>
          <w:p w14:paraId="1923B647" w14:textId="77777777" w:rsidR="00C70957" w:rsidRPr="001F12F8" w:rsidRDefault="00C70957" w:rsidP="002018CF">
            <w:pPr>
              <w:spacing w:before="0" w:after="0" w:line="240" w:lineRule="auto"/>
              <w:ind w:left="357"/>
              <w:jc w:val="both"/>
              <w:rPr>
                <w:rFonts w:eastAsia="Times New Roman" w:cs="Arial"/>
                <w:szCs w:val="24"/>
              </w:rPr>
            </w:pPr>
            <w:r>
              <w:t>10. Singapour</w:t>
            </w:r>
          </w:p>
        </w:tc>
      </w:tr>
      <w:tr w:rsidR="00C70957" w14:paraId="7D6C9EAA" w14:textId="77777777" w:rsidTr="002018CF">
        <w:trPr>
          <w:trHeight w:val="80"/>
        </w:trPr>
        <w:tc>
          <w:tcPr>
            <w:tcW w:w="3116" w:type="dxa"/>
          </w:tcPr>
          <w:p w14:paraId="4F08DC8C" w14:textId="77777777" w:rsidR="00C70957" w:rsidRPr="001F12F8" w:rsidRDefault="00C70957" w:rsidP="00413F5E">
            <w:pPr>
              <w:pStyle w:val="ListParagraph"/>
              <w:numPr>
                <w:ilvl w:val="0"/>
                <w:numId w:val="42"/>
              </w:numPr>
              <w:spacing w:before="0" w:after="0" w:line="240" w:lineRule="auto"/>
              <w:jc w:val="both"/>
              <w:rPr>
                <w:rFonts w:eastAsia="Times New Roman" w:cs="Arial"/>
                <w:szCs w:val="24"/>
              </w:rPr>
            </w:pPr>
            <w:r>
              <w:t xml:space="preserve">Canada </w:t>
            </w:r>
          </w:p>
        </w:tc>
        <w:tc>
          <w:tcPr>
            <w:tcW w:w="3117" w:type="dxa"/>
          </w:tcPr>
          <w:p w14:paraId="2201C1E6" w14:textId="77777777" w:rsidR="00C70957" w:rsidRPr="001F12F8" w:rsidRDefault="00C70957" w:rsidP="002018CF">
            <w:pPr>
              <w:spacing w:before="0" w:after="0" w:line="240" w:lineRule="auto"/>
              <w:ind w:left="357"/>
              <w:jc w:val="both"/>
              <w:rPr>
                <w:rFonts w:eastAsia="Times New Roman" w:cs="Arial"/>
                <w:szCs w:val="24"/>
              </w:rPr>
            </w:pPr>
            <w:r>
              <w:t xml:space="preserve">7. Mexique </w:t>
            </w:r>
          </w:p>
        </w:tc>
        <w:tc>
          <w:tcPr>
            <w:tcW w:w="3117" w:type="dxa"/>
          </w:tcPr>
          <w:p w14:paraId="387862A1" w14:textId="77777777" w:rsidR="00C70957" w:rsidRPr="001F12F8" w:rsidRDefault="00C70957" w:rsidP="002018CF">
            <w:pPr>
              <w:spacing w:before="0" w:after="0" w:line="240" w:lineRule="auto"/>
              <w:ind w:left="357"/>
              <w:jc w:val="both"/>
              <w:rPr>
                <w:rFonts w:eastAsia="Times New Roman" w:cs="Arial"/>
                <w:szCs w:val="24"/>
              </w:rPr>
            </w:pPr>
            <w:r>
              <w:t>11. Vietnam</w:t>
            </w:r>
          </w:p>
        </w:tc>
      </w:tr>
      <w:tr w:rsidR="00C70957" w14:paraId="5CDB4C32" w14:textId="77777777" w:rsidTr="002018CF">
        <w:trPr>
          <w:trHeight w:val="327"/>
        </w:trPr>
        <w:tc>
          <w:tcPr>
            <w:tcW w:w="3116" w:type="dxa"/>
          </w:tcPr>
          <w:p w14:paraId="4B0FDA57" w14:textId="77777777" w:rsidR="00C70957" w:rsidRPr="001F12F8" w:rsidRDefault="00C70957" w:rsidP="00413F5E">
            <w:pPr>
              <w:pStyle w:val="ListParagraph"/>
              <w:numPr>
                <w:ilvl w:val="0"/>
                <w:numId w:val="42"/>
              </w:numPr>
              <w:spacing w:before="0" w:after="0" w:line="240" w:lineRule="auto"/>
              <w:jc w:val="both"/>
              <w:rPr>
                <w:rFonts w:eastAsia="Times New Roman" w:cs="Arial"/>
                <w:szCs w:val="24"/>
              </w:rPr>
            </w:pPr>
            <w:r>
              <w:t>Chili</w:t>
            </w:r>
          </w:p>
        </w:tc>
        <w:tc>
          <w:tcPr>
            <w:tcW w:w="3117" w:type="dxa"/>
          </w:tcPr>
          <w:p w14:paraId="3A381BBD" w14:textId="77777777" w:rsidR="00C70957" w:rsidRPr="001F12F8" w:rsidRDefault="00C70957" w:rsidP="002018CF">
            <w:pPr>
              <w:spacing w:before="0" w:after="0" w:line="240" w:lineRule="auto"/>
              <w:ind w:left="357"/>
              <w:jc w:val="both"/>
              <w:rPr>
                <w:rFonts w:eastAsia="Times New Roman" w:cs="Arial"/>
                <w:szCs w:val="24"/>
              </w:rPr>
            </w:pPr>
            <w:r>
              <w:t xml:space="preserve">8. Nouvelle-Zélande </w:t>
            </w:r>
          </w:p>
        </w:tc>
        <w:tc>
          <w:tcPr>
            <w:tcW w:w="3117" w:type="dxa"/>
          </w:tcPr>
          <w:p w14:paraId="158CFD3A" w14:textId="77777777" w:rsidR="00C70957" w:rsidRPr="001F12F8" w:rsidRDefault="00C70957" w:rsidP="002018CF">
            <w:pPr>
              <w:spacing w:before="0" w:after="0" w:line="240" w:lineRule="auto"/>
              <w:ind w:left="357"/>
              <w:jc w:val="both"/>
              <w:rPr>
                <w:rFonts w:eastAsia="Times New Roman" w:cs="Arial"/>
                <w:szCs w:val="24"/>
              </w:rPr>
            </w:pPr>
            <w:r>
              <w:t xml:space="preserve">12. Royaume-Uni </w:t>
            </w:r>
          </w:p>
        </w:tc>
      </w:tr>
    </w:tbl>
    <w:p w14:paraId="640707DB" w14:textId="569FF4E7" w:rsidR="00C70957" w:rsidRDefault="00C70957" w:rsidP="00C70957">
      <w:pPr>
        <w:rPr>
          <w:rFonts w:cs="Arial"/>
          <w:szCs w:val="24"/>
        </w:rPr>
      </w:pPr>
      <w:r>
        <w:rPr>
          <w:b/>
          <w:bCs/>
        </w:rPr>
        <w:t xml:space="preserve">Source : </w:t>
      </w:r>
      <w:hyperlink r:id="rId18" w:history="1">
        <w:r>
          <w:rPr>
            <w:rStyle w:val="Hyperlink"/>
          </w:rPr>
          <w:t>https://www.international.gc.ca/trade-commerce/trade-agreements-accords-commerciaux/agr-acc/cptpp-ptpgp/index.aspx?lang=fra</w:t>
        </w:r>
      </w:hyperlink>
    </w:p>
    <w:p w14:paraId="2ED134C4" w14:textId="0595F4C5" w:rsidR="00F906EE" w:rsidRPr="006F616E" w:rsidRDefault="00F906EE" w:rsidP="00413F5E">
      <w:pPr>
        <w:pStyle w:val="ListParagraph"/>
        <w:numPr>
          <w:ilvl w:val="0"/>
          <w:numId w:val="36"/>
        </w:numPr>
        <w:spacing w:after="240" w:line="240" w:lineRule="auto"/>
        <w:ind w:left="360"/>
        <w:rPr>
          <w:rFonts w:eastAsia="Times New Roman" w:cs="Arial"/>
          <w:b/>
          <w:bCs/>
          <w:szCs w:val="24"/>
        </w:rPr>
      </w:pPr>
      <w:r>
        <w:rPr>
          <w:b/>
          <w:bCs/>
          <w:szCs w:val="24"/>
        </w:rPr>
        <w:t>Accord sur les marchés publics de l’Organisation mondiale du commerce (AMP-OMC) révisé</w:t>
      </w:r>
    </w:p>
    <w:p w14:paraId="3D4F1214" w14:textId="126D3A2A" w:rsidR="006A4698" w:rsidRDefault="006A4698" w:rsidP="005A38CB">
      <w:pPr>
        <w:spacing w:after="240" w:line="240" w:lineRule="auto"/>
        <w:rPr>
          <w:szCs w:val="24"/>
        </w:rPr>
      </w:pPr>
      <w:r>
        <w:t>L’Accord sur les marchés publics (AMP-OMC) compte 22 Parties (représentant 49 Membres de l’OMC, l’Union européenne et ses 27 États membres comptant pour une). L’AMP-OMC est entré en vigueur pour toutes les parties le 1</w:t>
      </w:r>
      <w:r>
        <w:rPr>
          <w:vertAlign w:val="superscript"/>
        </w:rPr>
        <w:t>er</w:t>
      </w:r>
      <w:r>
        <w:t> janvier 2021.</w:t>
      </w:r>
    </w:p>
    <w:p w14:paraId="0B9E2D03" w14:textId="560720BC" w:rsidR="00691ACE" w:rsidRPr="000202DB" w:rsidRDefault="00691ACE" w:rsidP="005A38CB">
      <w:pPr>
        <w:spacing w:after="240" w:line="240" w:lineRule="auto"/>
        <w:rPr>
          <w:rFonts w:eastAsia="Times New Roman" w:cs="Arial"/>
          <w:b/>
          <w:bCs/>
          <w:szCs w:val="24"/>
        </w:rPr>
      </w:pPr>
      <w:r>
        <w:rPr>
          <w:b/>
          <w:bCs/>
          <w:szCs w:val="24"/>
        </w:rPr>
        <w:t>Parties à l’accord</w:t>
      </w:r>
    </w:p>
    <w:p w14:paraId="60233847" w14:textId="77777777" w:rsidR="00D360F7" w:rsidRPr="00E67C8F" w:rsidRDefault="00D360F7" w:rsidP="00413F5E">
      <w:pPr>
        <w:pStyle w:val="ListParagraph"/>
        <w:numPr>
          <w:ilvl w:val="0"/>
          <w:numId w:val="35"/>
        </w:numPr>
        <w:spacing w:after="240" w:line="240" w:lineRule="auto"/>
        <w:rPr>
          <w:rFonts w:eastAsia="Times New Roman" w:cs="Arial"/>
          <w:szCs w:val="24"/>
        </w:rPr>
      </w:pPr>
      <w:r>
        <w:t>Arménie</w:t>
      </w:r>
    </w:p>
    <w:p w14:paraId="4232E8D0" w14:textId="77777777" w:rsidR="00D360F7" w:rsidRPr="00E67C8F" w:rsidRDefault="00D360F7" w:rsidP="00413F5E">
      <w:pPr>
        <w:pStyle w:val="ListParagraph"/>
        <w:numPr>
          <w:ilvl w:val="0"/>
          <w:numId w:val="35"/>
        </w:numPr>
        <w:rPr>
          <w:rFonts w:eastAsia="Times New Roman" w:cs="Arial"/>
          <w:szCs w:val="24"/>
        </w:rPr>
      </w:pPr>
      <w:r>
        <w:t>Australie</w:t>
      </w:r>
    </w:p>
    <w:p w14:paraId="361A586B" w14:textId="77777777" w:rsidR="00D360F7" w:rsidRPr="00E67C8F" w:rsidRDefault="00D360F7" w:rsidP="00413F5E">
      <w:pPr>
        <w:pStyle w:val="ListParagraph"/>
        <w:numPr>
          <w:ilvl w:val="0"/>
          <w:numId w:val="35"/>
        </w:numPr>
        <w:rPr>
          <w:rFonts w:eastAsia="Times New Roman" w:cs="Arial"/>
          <w:szCs w:val="24"/>
        </w:rPr>
      </w:pPr>
      <w:r>
        <w:t>Canada</w:t>
      </w:r>
    </w:p>
    <w:p w14:paraId="2BBEC715" w14:textId="23049D3B" w:rsidR="00D360F7" w:rsidRPr="00E67C8F" w:rsidRDefault="00D360F7" w:rsidP="00413F5E">
      <w:pPr>
        <w:pStyle w:val="ListParagraph"/>
        <w:numPr>
          <w:ilvl w:val="0"/>
          <w:numId w:val="35"/>
        </w:numPr>
        <w:rPr>
          <w:rFonts w:eastAsia="Times New Roman" w:cs="Arial"/>
          <w:szCs w:val="24"/>
        </w:rPr>
      </w:pPr>
      <w:r>
        <w:t xml:space="preserve">Union européenne (et ses 27 États membres) : Allemagne, Autriche, Belgique, Bulgarie, Chypre, Croatie, Danemark, Espagne, Estonie, Finlande, France, Grèce, Hongrie, Irlande, Italie, Lettonie, Lituanie, Luxembourg, Malte, Pays-Bas, Pologne, Portugal, République tchèque, Roumanie, République slovaque, Slovénie et Suède </w:t>
      </w:r>
    </w:p>
    <w:p w14:paraId="50E82BAC" w14:textId="77777777" w:rsidR="00D360F7" w:rsidRPr="00E67C8F" w:rsidRDefault="00D360F7" w:rsidP="00413F5E">
      <w:pPr>
        <w:pStyle w:val="ListParagraph"/>
        <w:numPr>
          <w:ilvl w:val="0"/>
          <w:numId w:val="35"/>
        </w:numPr>
        <w:rPr>
          <w:rFonts w:eastAsia="Times New Roman" w:cs="Arial"/>
          <w:szCs w:val="24"/>
        </w:rPr>
      </w:pPr>
      <w:r>
        <w:t>Hong Kong, Chine</w:t>
      </w:r>
    </w:p>
    <w:p w14:paraId="75E0446A" w14:textId="77777777" w:rsidR="00D360F7" w:rsidRPr="00E67C8F" w:rsidRDefault="00D360F7" w:rsidP="00413F5E">
      <w:pPr>
        <w:pStyle w:val="ListParagraph"/>
        <w:numPr>
          <w:ilvl w:val="0"/>
          <w:numId w:val="35"/>
        </w:numPr>
        <w:rPr>
          <w:rFonts w:eastAsia="Times New Roman" w:cs="Arial"/>
          <w:szCs w:val="24"/>
        </w:rPr>
      </w:pPr>
      <w:r>
        <w:t>Islande</w:t>
      </w:r>
    </w:p>
    <w:p w14:paraId="37AD9C08" w14:textId="77777777" w:rsidR="00D360F7" w:rsidRPr="00E67C8F" w:rsidRDefault="00D360F7" w:rsidP="00413F5E">
      <w:pPr>
        <w:pStyle w:val="ListParagraph"/>
        <w:numPr>
          <w:ilvl w:val="0"/>
          <w:numId w:val="35"/>
        </w:numPr>
        <w:rPr>
          <w:rFonts w:eastAsia="Times New Roman" w:cs="Arial"/>
          <w:szCs w:val="24"/>
        </w:rPr>
      </w:pPr>
      <w:r>
        <w:lastRenderedPageBreak/>
        <w:t>Israël</w:t>
      </w:r>
    </w:p>
    <w:p w14:paraId="1A47ACC2" w14:textId="77777777" w:rsidR="00D360F7" w:rsidRPr="00E67C8F" w:rsidRDefault="00D360F7" w:rsidP="00413F5E">
      <w:pPr>
        <w:pStyle w:val="ListParagraph"/>
        <w:numPr>
          <w:ilvl w:val="0"/>
          <w:numId w:val="35"/>
        </w:numPr>
        <w:rPr>
          <w:rFonts w:eastAsia="Times New Roman" w:cs="Arial"/>
          <w:szCs w:val="24"/>
        </w:rPr>
      </w:pPr>
      <w:r>
        <w:t xml:space="preserve">Japon </w:t>
      </w:r>
    </w:p>
    <w:p w14:paraId="4ABB5DC0" w14:textId="77777777" w:rsidR="00D360F7" w:rsidRPr="00E67C8F" w:rsidRDefault="00D360F7" w:rsidP="00413F5E">
      <w:pPr>
        <w:pStyle w:val="ListParagraph"/>
        <w:numPr>
          <w:ilvl w:val="0"/>
          <w:numId w:val="35"/>
        </w:numPr>
        <w:rPr>
          <w:rFonts w:eastAsia="Times New Roman" w:cs="Arial"/>
          <w:szCs w:val="24"/>
        </w:rPr>
      </w:pPr>
      <w:r>
        <w:t>Réplique de Corée</w:t>
      </w:r>
    </w:p>
    <w:p w14:paraId="11086F56" w14:textId="77777777" w:rsidR="00D360F7" w:rsidRPr="00E67C8F" w:rsidRDefault="00D360F7" w:rsidP="00413F5E">
      <w:pPr>
        <w:pStyle w:val="ListParagraph"/>
        <w:numPr>
          <w:ilvl w:val="0"/>
          <w:numId w:val="35"/>
        </w:numPr>
        <w:rPr>
          <w:rFonts w:eastAsia="Times New Roman" w:cs="Arial"/>
          <w:szCs w:val="24"/>
        </w:rPr>
      </w:pPr>
      <w:r>
        <w:t>Liechtenstein</w:t>
      </w:r>
    </w:p>
    <w:p w14:paraId="0BA3EEE4" w14:textId="77777777" w:rsidR="00D360F7" w:rsidRPr="00E67C8F" w:rsidRDefault="00D360F7" w:rsidP="00413F5E">
      <w:pPr>
        <w:pStyle w:val="ListParagraph"/>
        <w:numPr>
          <w:ilvl w:val="0"/>
          <w:numId w:val="35"/>
        </w:numPr>
        <w:rPr>
          <w:rFonts w:eastAsia="Times New Roman" w:cs="Arial"/>
          <w:szCs w:val="24"/>
        </w:rPr>
      </w:pPr>
      <w:r>
        <w:t>Moldavie, République de</w:t>
      </w:r>
    </w:p>
    <w:p w14:paraId="2B106098" w14:textId="77777777" w:rsidR="00D360F7" w:rsidRPr="00E67C8F" w:rsidRDefault="00D360F7" w:rsidP="00413F5E">
      <w:pPr>
        <w:pStyle w:val="ListParagraph"/>
        <w:numPr>
          <w:ilvl w:val="0"/>
          <w:numId w:val="35"/>
        </w:numPr>
        <w:rPr>
          <w:rFonts w:eastAsia="Times New Roman" w:cs="Arial"/>
          <w:szCs w:val="24"/>
        </w:rPr>
      </w:pPr>
      <w:r>
        <w:t>Monténégro</w:t>
      </w:r>
    </w:p>
    <w:p w14:paraId="2E5670CD" w14:textId="77777777" w:rsidR="00D360F7" w:rsidRPr="00E67C8F" w:rsidRDefault="00D360F7" w:rsidP="00413F5E">
      <w:pPr>
        <w:pStyle w:val="ListParagraph"/>
        <w:numPr>
          <w:ilvl w:val="0"/>
          <w:numId w:val="35"/>
        </w:numPr>
        <w:rPr>
          <w:rFonts w:eastAsia="Times New Roman" w:cs="Arial"/>
          <w:szCs w:val="24"/>
        </w:rPr>
      </w:pPr>
      <w:r>
        <w:t>Pays-Bas, en ce qui concerne Aruba</w:t>
      </w:r>
    </w:p>
    <w:p w14:paraId="45322A2F" w14:textId="77777777" w:rsidR="00D360F7" w:rsidRPr="00E67C8F" w:rsidRDefault="00D360F7" w:rsidP="00413F5E">
      <w:pPr>
        <w:pStyle w:val="ListParagraph"/>
        <w:numPr>
          <w:ilvl w:val="0"/>
          <w:numId w:val="35"/>
        </w:numPr>
        <w:rPr>
          <w:rFonts w:eastAsia="Times New Roman" w:cs="Arial"/>
          <w:szCs w:val="24"/>
        </w:rPr>
      </w:pPr>
      <w:r>
        <w:t>Nouvelle-Zélande</w:t>
      </w:r>
    </w:p>
    <w:p w14:paraId="30893261" w14:textId="77777777" w:rsidR="00D360F7" w:rsidRPr="00E67C8F" w:rsidRDefault="00D360F7" w:rsidP="00413F5E">
      <w:pPr>
        <w:pStyle w:val="ListParagraph"/>
        <w:numPr>
          <w:ilvl w:val="0"/>
          <w:numId w:val="35"/>
        </w:numPr>
        <w:rPr>
          <w:rFonts w:eastAsia="Times New Roman" w:cs="Arial"/>
          <w:szCs w:val="24"/>
        </w:rPr>
      </w:pPr>
      <w:r>
        <w:t>Macédoine du Nord</w:t>
      </w:r>
    </w:p>
    <w:p w14:paraId="1A5E7CE5" w14:textId="77777777" w:rsidR="00D360F7" w:rsidRPr="00E67C8F" w:rsidRDefault="00D360F7" w:rsidP="00413F5E">
      <w:pPr>
        <w:pStyle w:val="ListParagraph"/>
        <w:numPr>
          <w:ilvl w:val="0"/>
          <w:numId w:val="35"/>
        </w:numPr>
        <w:rPr>
          <w:rFonts w:eastAsia="Times New Roman" w:cs="Arial"/>
          <w:szCs w:val="24"/>
        </w:rPr>
      </w:pPr>
      <w:r>
        <w:t>Norvège</w:t>
      </w:r>
    </w:p>
    <w:p w14:paraId="35EA25DF" w14:textId="77777777" w:rsidR="00D360F7" w:rsidRPr="00E67C8F" w:rsidRDefault="00D360F7" w:rsidP="00413F5E">
      <w:pPr>
        <w:pStyle w:val="ListParagraph"/>
        <w:numPr>
          <w:ilvl w:val="0"/>
          <w:numId w:val="35"/>
        </w:numPr>
        <w:rPr>
          <w:rFonts w:eastAsia="Times New Roman" w:cs="Arial"/>
          <w:szCs w:val="24"/>
        </w:rPr>
      </w:pPr>
      <w:r>
        <w:t>Singapour</w:t>
      </w:r>
    </w:p>
    <w:p w14:paraId="72BBBD31" w14:textId="77777777" w:rsidR="00D360F7" w:rsidRPr="00E67C8F" w:rsidRDefault="00D360F7" w:rsidP="00413F5E">
      <w:pPr>
        <w:pStyle w:val="ListParagraph"/>
        <w:numPr>
          <w:ilvl w:val="0"/>
          <w:numId w:val="35"/>
        </w:numPr>
        <w:rPr>
          <w:rFonts w:eastAsia="Times New Roman" w:cs="Arial"/>
          <w:szCs w:val="24"/>
        </w:rPr>
      </w:pPr>
      <w:r>
        <w:t>Suisse</w:t>
      </w:r>
    </w:p>
    <w:p w14:paraId="2755F132" w14:textId="77777777" w:rsidR="00D360F7" w:rsidRPr="00E67C8F" w:rsidRDefault="00D360F7" w:rsidP="00413F5E">
      <w:pPr>
        <w:pStyle w:val="ListParagraph"/>
        <w:numPr>
          <w:ilvl w:val="0"/>
          <w:numId w:val="35"/>
        </w:numPr>
        <w:rPr>
          <w:rFonts w:eastAsia="Times New Roman" w:cs="Arial"/>
          <w:szCs w:val="24"/>
        </w:rPr>
      </w:pPr>
      <w:r>
        <w:t>Taipei chinois</w:t>
      </w:r>
    </w:p>
    <w:p w14:paraId="2712D053" w14:textId="77777777" w:rsidR="00D360F7" w:rsidRPr="00E67C8F" w:rsidRDefault="00D360F7" w:rsidP="00413F5E">
      <w:pPr>
        <w:pStyle w:val="ListParagraph"/>
        <w:numPr>
          <w:ilvl w:val="0"/>
          <w:numId w:val="35"/>
        </w:numPr>
        <w:rPr>
          <w:rFonts w:eastAsia="Times New Roman" w:cs="Arial"/>
          <w:szCs w:val="24"/>
        </w:rPr>
      </w:pPr>
      <w:r>
        <w:t>Ukraine</w:t>
      </w:r>
    </w:p>
    <w:p w14:paraId="17CECCBB" w14:textId="5F95CDCB" w:rsidR="00D360F7" w:rsidRPr="00E67C8F" w:rsidRDefault="00D360F7" w:rsidP="00413F5E">
      <w:pPr>
        <w:pStyle w:val="ListParagraph"/>
        <w:numPr>
          <w:ilvl w:val="0"/>
          <w:numId w:val="35"/>
        </w:numPr>
        <w:rPr>
          <w:rFonts w:eastAsia="Times New Roman" w:cs="Arial"/>
          <w:szCs w:val="24"/>
        </w:rPr>
      </w:pPr>
      <w:r>
        <w:t>Royaume-Uni</w:t>
      </w:r>
      <w:r>
        <w:tab/>
      </w:r>
    </w:p>
    <w:p w14:paraId="7390EDD5" w14:textId="68D96C70" w:rsidR="00D360F7" w:rsidRPr="003849B3" w:rsidRDefault="00D360F7" w:rsidP="00413F5E">
      <w:pPr>
        <w:pStyle w:val="ListParagraph"/>
        <w:numPr>
          <w:ilvl w:val="0"/>
          <w:numId w:val="35"/>
        </w:numPr>
        <w:rPr>
          <w:rFonts w:cs="Arial"/>
          <w:szCs w:val="24"/>
        </w:rPr>
      </w:pPr>
      <w:r>
        <w:t xml:space="preserve">États-Unis (les 37 États ayant ratifié l’AMP de l’OMC, soit : Arizona, Arkansas, Californie, Colorado, Connecticut, Delaware, Floride, Hawaï, Idaho, Illinois, Iowa, Kansas, Kentucky, Louisiane, Maine, Maryland, Massachusetts, Michigan, Minnesota, Mississippi, Missouri, Montana, New York, Nebraska, New Hampshire, Oklahoma, Oregon, </w:t>
      </w:r>
      <w:r w:rsidR="00FC1A30">
        <w:t>Pennsylvanie</w:t>
      </w:r>
      <w:r>
        <w:t>, Rhode Island, South Dakota, Tennessee, Texas, Utah, Vermont, Washington, Wisconsin et Wyoming</w:t>
      </w:r>
    </w:p>
    <w:p w14:paraId="06E3A79B" w14:textId="77777777" w:rsidR="0094759C" w:rsidRPr="00BF6DE6" w:rsidRDefault="0094759C" w:rsidP="005348AF">
      <w:pPr>
        <w:ind w:left="360"/>
        <w:rPr>
          <w:rFonts w:cs="Arial"/>
          <w:szCs w:val="24"/>
        </w:rPr>
      </w:pPr>
    </w:p>
    <w:p w14:paraId="238343B3" w14:textId="518337A1" w:rsidR="0094759C" w:rsidRPr="0094759C" w:rsidRDefault="0094759C" w:rsidP="005348AF">
      <w:pPr>
        <w:ind w:left="360"/>
        <w:rPr>
          <w:rFonts w:cs="Arial"/>
          <w:szCs w:val="24"/>
        </w:rPr>
      </w:pPr>
      <w:r>
        <w:rPr>
          <w:b/>
          <w:bCs/>
        </w:rPr>
        <w:t xml:space="preserve">Source : </w:t>
      </w:r>
      <w:hyperlink r:id="rId19" w:history="1">
        <w:r>
          <w:rPr>
            <w:rStyle w:val="Hyperlink"/>
          </w:rPr>
          <w:t>https://www.wto.org/french/tratop_f/gproc_f/memobs_f.htm</w:t>
        </w:r>
      </w:hyperlink>
    </w:p>
    <w:p w14:paraId="695ABA84" w14:textId="31502C4D" w:rsidR="0062698D" w:rsidRDefault="0062698D">
      <w:pPr>
        <w:spacing w:before="0" w:line="259" w:lineRule="auto"/>
        <w:rPr>
          <w:rFonts w:cs="Arial"/>
          <w:szCs w:val="24"/>
        </w:rPr>
      </w:pPr>
      <w:r>
        <w:br w:type="page"/>
      </w:r>
    </w:p>
    <w:p w14:paraId="0C280680" w14:textId="71D9AB00" w:rsidR="00F906EE" w:rsidRPr="000202DB" w:rsidRDefault="007B5CBC" w:rsidP="00413F5E">
      <w:pPr>
        <w:pStyle w:val="ListParagraph"/>
        <w:numPr>
          <w:ilvl w:val="0"/>
          <w:numId w:val="37"/>
        </w:numPr>
        <w:spacing w:after="240" w:line="240" w:lineRule="auto"/>
        <w:ind w:left="360"/>
        <w:rPr>
          <w:rFonts w:eastAsia="Times New Roman" w:cs="Arial"/>
          <w:b/>
          <w:bCs/>
          <w:szCs w:val="24"/>
        </w:rPr>
      </w:pPr>
      <w:r>
        <w:rPr>
          <w:b/>
          <w:bCs/>
          <w:szCs w:val="24"/>
        </w:rPr>
        <w:lastRenderedPageBreak/>
        <w:t>Accord économique et commercial global (AECG) entre le Canada et l’Union européenne</w:t>
      </w:r>
    </w:p>
    <w:p w14:paraId="768E01F6" w14:textId="0310AD64" w:rsidR="00F906EE" w:rsidRDefault="00F906EE" w:rsidP="005A38CB">
      <w:pPr>
        <w:spacing w:after="240" w:line="240" w:lineRule="auto"/>
        <w:rPr>
          <w:szCs w:val="24"/>
        </w:rPr>
      </w:pPr>
      <w:r>
        <w:t>Cet accord entre le Canada et l’Union européenne a été ratifié le 30 octobre 2016 et a commencé à s’appliquer à titre provisoire le 21 septembre 2017. L’application à titre provisoire signifie que la plupart des dispositions, y compris celles relatives aux approvisionnements publics, sont considérées comme étant en vigueur.</w:t>
      </w:r>
    </w:p>
    <w:p w14:paraId="01DAD8C9" w14:textId="77777777" w:rsidR="00D03B93" w:rsidRDefault="00D03B93" w:rsidP="005A38CB">
      <w:pPr>
        <w:spacing w:after="240" w:line="240" w:lineRule="auto"/>
        <w:rPr>
          <w:rFonts w:eastAsia="Times New Roman" w:cs="Arial"/>
          <w:b/>
          <w:bCs/>
          <w:szCs w:val="24"/>
        </w:rPr>
      </w:pPr>
      <w:r>
        <w:rPr>
          <w:b/>
          <w:bCs/>
          <w:szCs w:val="24"/>
        </w:rPr>
        <w:t>Parties à l’accord</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2365"/>
        <w:gridCol w:w="2364"/>
        <w:gridCol w:w="2365"/>
      </w:tblGrid>
      <w:tr w:rsidR="00D03B93" w:rsidRPr="001F12F8" w14:paraId="53C7BA71" w14:textId="77777777" w:rsidTr="002018CF">
        <w:trPr>
          <w:trHeight w:val="253"/>
        </w:trPr>
        <w:tc>
          <w:tcPr>
            <w:tcW w:w="2364" w:type="dxa"/>
          </w:tcPr>
          <w:p w14:paraId="43BB55BC" w14:textId="77777777" w:rsidR="00D03B93" w:rsidRPr="00514FC2" w:rsidRDefault="00D03B93" w:rsidP="00413F5E">
            <w:pPr>
              <w:pStyle w:val="ListParagraph"/>
              <w:numPr>
                <w:ilvl w:val="0"/>
                <w:numId w:val="38"/>
              </w:numPr>
              <w:spacing w:before="0" w:after="0" w:line="240" w:lineRule="auto"/>
              <w:jc w:val="both"/>
              <w:rPr>
                <w:rFonts w:eastAsia="Times New Roman" w:cs="Arial"/>
                <w:szCs w:val="24"/>
              </w:rPr>
            </w:pPr>
            <w:r>
              <w:t>Autriche</w:t>
            </w:r>
          </w:p>
        </w:tc>
        <w:tc>
          <w:tcPr>
            <w:tcW w:w="2365" w:type="dxa"/>
          </w:tcPr>
          <w:p w14:paraId="04D4F3EA" w14:textId="77777777" w:rsidR="00D03B93" w:rsidRPr="00514FC2" w:rsidRDefault="00D03B93" w:rsidP="00413F5E">
            <w:pPr>
              <w:pStyle w:val="ListParagraph"/>
              <w:numPr>
                <w:ilvl w:val="0"/>
                <w:numId w:val="39"/>
              </w:numPr>
              <w:spacing w:before="0" w:after="0" w:line="240" w:lineRule="auto"/>
              <w:jc w:val="both"/>
              <w:rPr>
                <w:rFonts w:eastAsia="Times New Roman" w:cs="Arial"/>
                <w:szCs w:val="24"/>
              </w:rPr>
            </w:pPr>
            <w:r>
              <w:t>Estonie</w:t>
            </w:r>
          </w:p>
        </w:tc>
        <w:tc>
          <w:tcPr>
            <w:tcW w:w="2364" w:type="dxa"/>
          </w:tcPr>
          <w:p w14:paraId="789DFE5E" w14:textId="77777777" w:rsidR="00D03B93" w:rsidRPr="001F12F8" w:rsidRDefault="00D03B93" w:rsidP="00413F5E">
            <w:pPr>
              <w:pStyle w:val="ListParagraph"/>
              <w:numPr>
                <w:ilvl w:val="0"/>
                <w:numId w:val="40"/>
              </w:numPr>
              <w:spacing w:before="0" w:after="0" w:line="240" w:lineRule="auto"/>
              <w:jc w:val="both"/>
              <w:rPr>
                <w:rFonts w:eastAsia="Times New Roman" w:cs="Arial"/>
                <w:szCs w:val="24"/>
              </w:rPr>
            </w:pPr>
            <w:r>
              <w:t>Italie</w:t>
            </w:r>
          </w:p>
        </w:tc>
        <w:tc>
          <w:tcPr>
            <w:tcW w:w="2365" w:type="dxa"/>
          </w:tcPr>
          <w:p w14:paraId="60345C59" w14:textId="77777777" w:rsidR="00D03B93" w:rsidRPr="001F12F8" w:rsidRDefault="00D03B93" w:rsidP="00413F5E">
            <w:pPr>
              <w:pStyle w:val="ListParagraph"/>
              <w:numPr>
                <w:ilvl w:val="0"/>
                <w:numId w:val="41"/>
              </w:numPr>
              <w:spacing w:before="0" w:after="0" w:line="240" w:lineRule="auto"/>
              <w:jc w:val="both"/>
              <w:rPr>
                <w:rFonts w:eastAsia="Times New Roman" w:cs="Arial"/>
                <w:szCs w:val="24"/>
              </w:rPr>
            </w:pPr>
            <w:r>
              <w:t>Portugal</w:t>
            </w:r>
          </w:p>
        </w:tc>
      </w:tr>
      <w:tr w:rsidR="00D03B93" w:rsidRPr="001F12F8" w14:paraId="17216FF2" w14:textId="77777777" w:rsidTr="002018CF">
        <w:trPr>
          <w:trHeight w:val="393"/>
        </w:trPr>
        <w:tc>
          <w:tcPr>
            <w:tcW w:w="2364" w:type="dxa"/>
          </w:tcPr>
          <w:p w14:paraId="30486169" w14:textId="77777777" w:rsidR="00D03B93" w:rsidRPr="00514FC2" w:rsidRDefault="00D03B93" w:rsidP="00413F5E">
            <w:pPr>
              <w:pStyle w:val="ListParagraph"/>
              <w:numPr>
                <w:ilvl w:val="0"/>
                <w:numId w:val="38"/>
              </w:numPr>
              <w:spacing w:before="0" w:after="0" w:line="240" w:lineRule="auto"/>
              <w:jc w:val="both"/>
              <w:rPr>
                <w:rFonts w:eastAsia="Times New Roman" w:cs="Arial"/>
                <w:szCs w:val="24"/>
              </w:rPr>
            </w:pPr>
            <w:r>
              <w:t>Belgique</w:t>
            </w:r>
          </w:p>
        </w:tc>
        <w:tc>
          <w:tcPr>
            <w:tcW w:w="2365" w:type="dxa"/>
          </w:tcPr>
          <w:p w14:paraId="63CDC33F" w14:textId="77777777" w:rsidR="00D03B93" w:rsidRPr="00514FC2" w:rsidRDefault="00D03B93" w:rsidP="00413F5E">
            <w:pPr>
              <w:pStyle w:val="ListParagraph"/>
              <w:numPr>
                <w:ilvl w:val="0"/>
                <w:numId w:val="39"/>
              </w:numPr>
              <w:spacing w:before="0" w:after="0" w:line="240" w:lineRule="auto"/>
              <w:jc w:val="both"/>
              <w:rPr>
                <w:rFonts w:eastAsia="Times New Roman" w:cs="Arial"/>
                <w:szCs w:val="24"/>
              </w:rPr>
            </w:pPr>
            <w:r>
              <w:t>Finlande</w:t>
            </w:r>
          </w:p>
        </w:tc>
        <w:tc>
          <w:tcPr>
            <w:tcW w:w="2364" w:type="dxa"/>
          </w:tcPr>
          <w:p w14:paraId="67C83A60" w14:textId="77777777" w:rsidR="00D03B93" w:rsidRPr="001F12F8" w:rsidRDefault="00D03B93" w:rsidP="00413F5E">
            <w:pPr>
              <w:pStyle w:val="ListParagraph"/>
              <w:numPr>
                <w:ilvl w:val="0"/>
                <w:numId w:val="40"/>
              </w:numPr>
              <w:spacing w:before="0" w:after="0" w:line="240" w:lineRule="auto"/>
              <w:ind w:left="357" w:hanging="357"/>
              <w:jc w:val="both"/>
              <w:rPr>
                <w:rFonts w:eastAsia="Times New Roman" w:cs="Arial"/>
                <w:szCs w:val="24"/>
              </w:rPr>
            </w:pPr>
            <w:r>
              <w:t xml:space="preserve">Lettonie </w:t>
            </w:r>
          </w:p>
        </w:tc>
        <w:tc>
          <w:tcPr>
            <w:tcW w:w="2365" w:type="dxa"/>
          </w:tcPr>
          <w:p w14:paraId="077463B3" w14:textId="77777777" w:rsidR="00D03B93" w:rsidRPr="001F12F8" w:rsidRDefault="00D03B93" w:rsidP="00413F5E">
            <w:pPr>
              <w:pStyle w:val="ListParagraph"/>
              <w:numPr>
                <w:ilvl w:val="0"/>
                <w:numId w:val="41"/>
              </w:numPr>
              <w:spacing w:before="0" w:after="0" w:line="240" w:lineRule="auto"/>
              <w:jc w:val="both"/>
              <w:rPr>
                <w:rFonts w:eastAsia="Times New Roman" w:cs="Arial"/>
                <w:szCs w:val="24"/>
              </w:rPr>
            </w:pPr>
            <w:r>
              <w:t>Roumanie</w:t>
            </w:r>
          </w:p>
        </w:tc>
      </w:tr>
      <w:tr w:rsidR="00D03B93" w:rsidRPr="001F12F8" w14:paraId="3DE8935D" w14:textId="77777777" w:rsidTr="002018CF">
        <w:trPr>
          <w:trHeight w:val="349"/>
        </w:trPr>
        <w:tc>
          <w:tcPr>
            <w:tcW w:w="2364" w:type="dxa"/>
          </w:tcPr>
          <w:p w14:paraId="78D046F1" w14:textId="77777777" w:rsidR="00D03B93" w:rsidRPr="00514FC2" w:rsidRDefault="00D03B93" w:rsidP="00413F5E">
            <w:pPr>
              <w:pStyle w:val="ListParagraph"/>
              <w:numPr>
                <w:ilvl w:val="0"/>
                <w:numId w:val="38"/>
              </w:numPr>
              <w:spacing w:before="0" w:after="0" w:line="240" w:lineRule="auto"/>
              <w:jc w:val="both"/>
              <w:rPr>
                <w:rFonts w:eastAsia="Times New Roman" w:cs="Arial"/>
                <w:szCs w:val="24"/>
              </w:rPr>
            </w:pPr>
            <w:r>
              <w:t>Bulgarie</w:t>
            </w:r>
          </w:p>
        </w:tc>
        <w:tc>
          <w:tcPr>
            <w:tcW w:w="2365" w:type="dxa"/>
          </w:tcPr>
          <w:p w14:paraId="693E75F2" w14:textId="77777777" w:rsidR="00D03B93" w:rsidRPr="00514FC2" w:rsidRDefault="00D03B93" w:rsidP="00413F5E">
            <w:pPr>
              <w:pStyle w:val="ListParagraph"/>
              <w:numPr>
                <w:ilvl w:val="0"/>
                <w:numId w:val="39"/>
              </w:numPr>
              <w:spacing w:before="0" w:after="0" w:line="240" w:lineRule="auto"/>
              <w:jc w:val="both"/>
              <w:rPr>
                <w:rFonts w:eastAsia="Times New Roman" w:cs="Arial"/>
                <w:szCs w:val="24"/>
              </w:rPr>
            </w:pPr>
            <w:r>
              <w:t>Danemark</w:t>
            </w:r>
          </w:p>
        </w:tc>
        <w:tc>
          <w:tcPr>
            <w:tcW w:w="2364" w:type="dxa"/>
          </w:tcPr>
          <w:p w14:paraId="1C3FC26C" w14:textId="77777777" w:rsidR="00D03B93" w:rsidRPr="001F12F8" w:rsidRDefault="00D03B93" w:rsidP="00413F5E">
            <w:pPr>
              <w:pStyle w:val="ListParagraph"/>
              <w:numPr>
                <w:ilvl w:val="0"/>
                <w:numId w:val="40"/>
              </w:numPr>
              <w:spacing w:before="0" w:after="0" w:line="240" w:lineRule="auto"/>
              <w:ind w:left="357" w:hanging="357"/>
              <w:jc w:val="both"/>
              <w:rPr>
                <w:rFonts w:eastAsia="Times New Roman" w:cs="Arial"/>
                <w:szCs w:val="24"/>
              </w:rPr>
            </w:pPr>
            <w:r>
              <w:t>Lituanie</w:t>
            </w:r>
          </w:p>
        </w:tc>
        <w:tc>
          <w:tcPr>
            <w:tcW w:w="2365" w:type="dxa"/>
          </w:tcPr>
          <w:p w14:paraId="5512663A" w14:textId="77777777" w:rsidR="00D03B93" w:rsidRPr="001F12F8" w:rsidRDefault="00D03B93" w:rsidP="00413F5E">
            <w:pPr>
              <w:pStyle w:val="ListParagraph"/>
              <w:numPr>
                <w:ilvl w:val="0"/>
                <w:numId w:val="41"/>
              </w:numPr>
              <w:spacing w:before="0" w:after="0" w:line="240" w:lineRule="auto"/>
              <w:jc w:val="both"/>
              <w:rPr>
                <w:rFonts w:eastAsia="Times New Roman" w:cs="Arial"/>
                <w:szCs w:val="24"/>
              </w:rPr>
            </w:pPr>
            <w:r>
              <w:t>Slovaquie</w:t>
            </w:r>
          </w:p>
        </w:tc>
      </w:tr>
      <w:tr w:rsidR="00D03B93" w:rsidRPr="001F12F8" w14:paraId="27D10961" w14:textId="77777777" w:rsidTr="002018CF">
        <w:trPr>
          <w:trHeight w:val="269"/>
        </w:trPr>
        <w:tc>
          <w:tcPr>
            <w:tcW w:w="2364" w:type="dxa"/>
          </w:tcPr>
          <w:p w14:paraId="1E6A3DE4" w14:textId="77777777" w:rsidR="00D03B93" w:rsidRPr="00514FC2" w:rsidRDefault="00D03B93" w:rsidP="00413F5E">
            <w:pPr>
              <w:pStyle w:val="ListParagraph"/>
              <w:numPr>
                <w:ilvl w:val="0"/>
                <w:numId w:val="38"/>
              </w:numPr>
              <w:spacing w:before="0" w:after="0" w:line="240" w:lineRule="auto"/>
              <w:jc w:val="both"/>
              <w:rPr>
                <w:rFonts w:eastAsia="Times New Roman" w:cs="Arial"/>
                <w:szCs w:val="24"/>
              </w:rPr>
            </w:pPr>
            <w:r>
              <w:t>Croatie</w:t>
            </w:r>
          </w:p>
        </w:tc>
        <w:tc>
          <w:tcPr>
            <w:tcW w:w="2365" w:type="dxa"/>
          </w:tcPr>
          <w:p w14:paraId="6CD504E7" w14:textId="77777777" w:rsidR="00D03B93" w:rsidRPr="00514FC2" w:rsidRDefault="00D03B93" w:rsidP="00413F5E">
            <w:pPr>
              <w:pStyle w:val="ListParagraph"/>
              <w:numPr>
                <w:ilvl w:val="0"/>
                <w:numId w:val="39"/>
              </w:numPr>
              <w:spacing w:before="0" w:after="0" w:line="240" w:lineRule="auto"/>
              <w:jc w:val="both"/>
              <w:rPr>
                <w:rFonts w:eastAsia="Times New Roman" w:cs="Arial"/>
                <w:szCs w:val="24"/>
              </w:rPr>
            </w:pPr>
            <w:r>
              <w:t>Allemagne</w:t>
            </w:r>
          </w:p>
        </w:tc>
        <w:tc>
          <w:tcPr>
            <w:tcW w:w="2364" w:type="dxa"/>
          </w:tcPr>
          <w:p w14:paraId="432A1125" w14:textId="77777777" w:rsidR="00D03B93" w:rsidRPr="001F12F8" w:rsidRDefault="00D03B93" w:rsidP="00413F5E">
            <w:pPr>
              <w:pStyle w:val="ListParagraph"/>
              <w:numPr>
                <w:ilvl w:val="0"/>
                <w:numId w:val="40"/>
              </w:numPr>
              <w:spacing w:before="0" w:after="0" w:line="240" w:lineRule="auto"/>
              <w:ind w:left="357" w:hanging="357"/>
              <w:jc w:val="both"/>
              <w:rPr>
                <w:rFonts w:eastAsia="Times New Roman" w:cs="Arial"/>
                <w:szCs w:val="24"/>
              </w:rPr>
            </w:pPr>
            <w:r>
              <w:t>Luxembourg</w:t>
            </w:r>
          </w:p>
        </w:tc>
        <w:tc>
          <w:tcPr>
            <w:tcW w:w="2365" w:type="dxa"/>
          </w:tcPr>
          <w:p w14:paraId="3FE0A2C4" w14:textId="77777777" w:rsidR="00D03B93" w:rsidRPr="001F12F8" w:rsidRDefault="00D03B93" w:rsidP="00413F5E">
            <w:pPr>
              <w:pStyle w:val="ListParagraph"/>
              <w:numPr>
                <w:ilvl w:val="0"/>
                <w:numId w:val="41"/>
              </w:numPr>
              <w:spacing w:before="0" w:after="0" w:line="240" w:lineRule="auto"/>
              <w:jc w:val="both"/>
              <w:rPr>
                <w:rFonts w:eastAsia="Times New Roman" w:cs="Arial"/>
                <w:szCs w:val="24"/>
              </w:rPr>
            </w:pPr>
            <w:r>
              <w:t>Slovénie</w:t>
            </w:r>
          </w:p>
        </w:tc>
      </w:tr>
      <w:tr w:rsidR="00D03B93" w:rsidRPr="001F12F8" w14:paraId="04D8F343" w14:textId="77777777" w:rsidTr="002018CF">
        <w:trPr>
          <w:trHeight w:val="80"/>
        </w:trPr>
        <w:tc>
          <w:tcPr>
            <w:tcW w:w="2364" w:type="dxa"/>
          </w:tcPr>
          <w:p w14:paraId="19618F5B" w14:textId="77777777" w:rsidR="00D03B93" w:rsidRPr="00514FC2" w:rsidRDefault="00D03B93" w:rsidP="00413F5E">
            <w:pPr>
              <w:pStyle w:val="ListParagraph"/>
              <w:numPr>
                <w:ilvl w:val="0"/>
                <w:numId w:val="38"/>
              </w:numPr>
              <w:spacing w:before="0" w:after="0" w:line="240" w:lineRule="auto"/>
              <w:jc w:val="both"/>
              <w:rPr>
                <w:rFonts w:eastAsia="Times New Roman" w:cs="Arial"/>
                <w:szCs w:val="24"/>
              </w:rPr>
            </w:pPr>
            <w:r>
              <w:t>Chypre</w:t>
            </w:r>
          </w:p>
        </w:tc>
        <w:tc>
          <w:tcPr>
            <w:tcW w:w="2365" w:type="dxa"/>
          </w:tcPr>
          <w:p w14:paraId="4EC5439D" w14:textId="77777777" w:rsidR="00D03B93" w:rsidRPr="00514FC2" w:rsidRDefault="00D03B93" w:rsidP="00413F5E">
            <w:pPr>
              <w:pStyle w:val="ListParagraph"/>
              <w:numPr>
                <w:ilvl w:val="0"/>
                <w:numId w:val="39"/>
              </w:numPr>
              <w:spacing w:before="0" w:after="0" w:line="240" w:lineRule="auto"/>
              <w:jc w:val="both"/>
              <w:rPr>
                <w:rFonts w:eastAsia="Times New Roman" w:cs="Arial"/>
                <w:szCs w:val="24"/>
              </w:rPr>
            </w:pPr>
            <w:r>
              <w:t>Grèce</w:t>
            </w:r>
          </w:p>
        </w:tc>
        <w:tc>
          <w:tcPr>
            <w:tcW w:w="2364" w:type="dxa"/>
          </w:tcPr>
          <w:p w14:paraId="00BFC8AA" w14:textId="77777777" w:rsidR="00D03B93" w:rsidRPr="001F12F8" w:rsidRDefault="00D03B93" w:rsidP="00413F5E">
            <w:pPr>
              <w:pStyle w:val="ListParagraph"/>
              <w:numPr>
                <w:ilvl w:val="0"/>
                <w:numId w:val="40"/>
              </w:numPr>
              <w:spacing w:before="0" w:after="0" w:line="240" w:lineRule="auto"/>
              <w:ind w:left="357" w:hanging="357"/>
              <w:jc w:val="both"/>
              <w:rPr>
                <w:rFonts w:eastAsia="Times New Roman" w:cs="Arial"/>
                <w:szCs w:val="24"/>
              </w:rPr>
            </w:pPr>
            <w:r>
              <w:t>Malte</w:t>
            </w:r>
          </w:p>
        </w:tc>
        <w:tc>
          <w:tcPr>
            <w:tcW w:w="2365" w:type="dxa"/>
          </w:tcPr>
          <w:p w14:paraId="5881C114" w14:textId="77777777" w:rsidR="00D03B93" w:rsidRPr="001F12F8" w:rsidRDefault="00D03B93" w:rsidP="00413F5E">
            <w:pPr>
              <w:pStyle w:val="ListParagraph"/>
              <w:numPr>
                <w:ilvl w:val="0"/>
                <w:numId w:val="41"/>
              </w:numPr>
              <w:spacing w:before="0" w:after="0" w:line="240" w:lineRule="auto"/>
              <w:jc w:val="both"/>
              <w:rPr>
                <w:rFonts w:eastAsia="Times New Roman" w:cs="Arial"/>
                <w:szCs w:val="24"/>
              </w:rPr>
            </w:pPr>
            <w:r>
              <w:t>Espagne</w:t>
            </w:r>
          </w:p>
        </w:tc>
      </w:tr>
      <w:tr w:rsidR="00D03B93" w:rsidRPr="001F12F8" w14:paraId="0740692A" w14:textId="77777777" w:rsidTr="002018CF">
        <w:trPr>
          <w:trHeight w:val="80"/>
        </w:trPr>
        <w:tc>
          <w:tcPr>
            <w:tcW w:w="2364" w:type="dxa"/>
          </w:tcPr>
          <w:p w14:paraId="11F90BDD" w14:textId="77777777" w:rsidR="00D03B93" w:rsidRPr="00514FC2" w:rsidRDefault="00D03B93" w:rsidP="00413F5E">
            <w:pPr>
              <w:pStyle w:val="ListParagraph"/>
              <w:numPr>
                <w:ilvl w:val="0"/>
                <w:numId w:val="38"/>
              </w:numPr>
              <w:spacing w:before="0" w:after="0" w:line="240" w:lineRule="auto"/>
              <w:jc w:val="both"/>
              <w:rPr>
                <w:rFonts w:eastAsia="Times New Roman" w:cs="Arial"/>
                <w:szCs w:val="24"/>
              </w:rPr>
            </w:pPr>
            <w:r>
              <w:t>République tchèque</w:t>
            </w:r>
          </w:p>
        </w:tc>
        <w:tc>
          <w:tcPr>
            <w:tcW w:w="2365" w:type="dxa"/>
          </w:tcPr>
          <w:p w14:paraId="1A48CB72" w14:textId="77777777" w:rsidR="00D03B93" w:rsidRPr="00514FC2" w:rsidRDefault="00D03B93" w:rsidP="00413F5E">
            <w:pPr>
              <w:pStyle w:val="ListParagraph"/>
              <w:numPr>
                <w:ilvl w:val="0"/>
                <w:numId w:val="39"/>
              </w:numPr>
              <w:spacing w:before="0" w:after="0" w:line="240" w:lineRule="auto"/>
              <w:jc w:val="both"/>
              <w:rPr>
                <w:rFonts w:eastAsia="Times New Roman" w:cs="Arial"/>
                <w:szCs w:val="24"/>
              </w:rPr>
            </w:pPr>
            <w:r>
              <w:t>Hongrie</w:t>
            </w:r>
          </w:p>
        </w:tc>
        <w:tc>
          <w:tcPr>
            <w:tcW w:w="2364" w:type="dxa"/>
          </w:tcPr>
          <w:p w14:paraId="75B183B1" w14:textId="77777777" w:rsidR="00D03B93" w:rsidRPr="001F12F8" w:rsidRDefault="00D03B93" w:rsidP="00413F5E">
            <w:pPr>
              <w:pStyle w:val="ListParagraph"/>
              <w:numPr>
                <w:ilvl w:val="0"/>
                <w:numId w:val="40"/>
              </w:numPr>
              <w:spacing w:before="0" w:after="0" w:line="240" w:lineRule="auto"/>
              <w:ind w:left="357" w:hanging="357"/>
              <w:jc w:val="both"/>
              <w:rPr>
                <w:rFonts w:eastAsia="Times New Roman" w:cs="Arial"/>
                <w:szCs w:val="24"/>
              </w:rPr>
            </w:pPr>
            <w:r>
              <w:t>Pays-Bas</w:t>
            </w:r>
          </w:p>
        </w:tc>
        <w:tc>
          <w:tcPr>
            <w:tcW w:w="2365" w:type="dxa"/>
          </w:tcPr>
          <w:p w14:paraId="36160EBE" w14:textId="77777777" w:rsidR="00D03B93" w:rsidRPr="001F12F8" w:rsidRDefault="00D03B93" w:rsidP="00413F5E">
            <w:pPr>
              <w:pStyle w:val="ListParagraph"/>
              <w:numPr>
                <w:ilvl w:val="0"/>
                <w:numId w:val="41"/>
              </w:numPr>
              <w:spacing w:before="0" w:after="0" w:line="240" w:lineRule="auto"/>
              <w:jc w:val="both"/>
              <w:rPr>
                <w:rFonts w:eastAsia="Times New Roman" w:cs="Arial"/>
                <w:szCs w:val="24"/>
              </w:rPr>
            </w:pPr>
            <w:r>
              <w:t>Suède</w:t>
            </w:r>
          </w:p>
        </w:tc>
      </w:tr>
      <w:tr w:rsidR="00D03B93" w:rsidRPr="001F12F8" w14:paraId="65CE613A" w14:textId="77777777" w:rsidTr="002018CF">
        <w:trPr>
          <w:trHeight w:val="345"/>
        </w:trPr>
        <w:tc>
          <w:tcPr>
            <w:tcW w:w="2364" w:type="dxa"/>
          </w:tcPr>
          <w:p w14:paraId="4D0F3770" w14:textId="77777777" w:rsidR="00D03B93" w:rsidRPr="00514FC2" w:rsidRDefault="00D03B93" w:rsidP="00413F5E">
            <w:pPr>
              <w:pStyle w:val="ListParagraph"/>
              <w:numPr>
                <w:ilvl w:val="0"/>
                <w:numId w:val="38"/>
              </w:numPr>
              <w:spacing w:before="0" w:after="0" w:line="240" w:lineRule="auto"/>
              <w:jc w:val="both"/>
              <w:rPr>
                <w:rFonts w:eastAsia="Times New Roman" w:cs="Arial"/>
                <w:szCs w:val="24"/>
              </w:rPr>
            </w:pPr>
            <w:r>
              <w:t>Danemark</w:t>
            </w:r>
          </w:p>
        </w:tc>
        <w:tc>
          <w:tcPr>
            <w:tcW w:w="2365" w:type="dxa"/>
          </w:tcPr>
          <w:p w14:paraId="5BCEB2F4" w14:textId="77777777" w:rsidR="00D03B93" w:rsidRPr="00514FC2" w:rsidRDefault="00D03B93" w:rsidP="00413F5E">
            <w:pPr>
              <w:pStyle w:val="ListParagraph"/>
              <w:numPr>
                <w:ilvl w:val="0"/>
                <w:numId w:val="39"/>
              </w:numPr>
              <w:spacing w:before="0" w:after="0" w:line="240" w:lineRule="auto"/>
              <w:jc w:val="both"/>
              <w:rPr>
                <w:rFonts w:eastAsia="Times New Roman" w:cs="Arial"/>
                <w:szCs w:val="24"/>
              </w:rPr>
            </w:pPr>
            <w:r>
              <w:t>Irlande</w:t>
            </w:r>
          </w:p>
        </w:tc>
        <w:tc>
          <w:tcPr>
            <w:tcW w:w="2364" w:type="dxa"/>
          </w:tcPr>
          <w:p w14:paraId="23B430BB" w14:textId="77777777" w:rsidR="00D03B93" w:rsidRPr="001F12F8" w:rsidRDefault="00D03B93" w:rsidP="00413F5E">
            <w:pPr>
              <w:pStyle w:val="ListParagraph"/>
              <w:numPr>
                <w:ilvl w:val="0"/>
                <w:numId w:val="40"/>
              </w:numPr>
              <w:spacing w:before="0" w:after="0" w:line="240" w:lineRule="auto"/>
              <w:ind w:left="357" w:hanging="357"/>
              <w:jc w:val="both"/>
              <w:rPr>
                <w:rFonts w:eastAsia="Times New Roman" w:cs="Arial"/>
                <w:szCs w:val="24"/>
              </w:rPr>
            </w:pPr>
            <w:r>
              <w:t>Pologne</w:t>
            </w:r>
          </w:p>
        </w:tc>
        <w:tc>
          <w:tcPr>
            <w:tcW w:w="2365" w:type="dxa"/>
          </w:tcPr>
          <w:p w14:paraId="52BE3399" w14:textId="77777777" w:rsidR="00D03B93" w:rsidRPr="0092080F" w:rsidRDefault="00D03B93" w:rsidP="002018CF">
            <w:pPr>
              <w:pStyle w:val="ListParagraph"/>
              <w:spacing w:before="0" w:after="0" w:line="240" w:lineRule="auto"/>
              <w:ind w:left="360"/>
              <w:jc w:val="both"/>
              <w:rPr>
                <w:rFonts w:eastAsia="Times New Roman" w:cs="Arial"/>
                <w:szCs w:val="24"/>
                <w:lang w:eastAsia="en-CA"/>
              </w:rPr>
            </w:pPr>
          </w:p>
        </w:tc>
      </w:tr>
    </w:tbl>
    <w:p w14:paraId="3974D672" w14:textId="31FA030A" w:rsidR="00D03B93" w:rsidRDefault="00D03B93" w:rsidP="00D03B93">
      <w:pPr>
        <w:rPr>
          <w:rStyle w:val="Hyperlink"/>
          <w:rFonts w:cs="Arial"/>
          <w:szCs w:val="24"/>
        </w:rPr>
      </w:pPr>
      <w:r>
        <w:rPr>
          <w:b/>
          <w:bCs/>
        </w:rPr>
        <w:t xml:space="preserve">Source : </w:t>
      </w:r>
      <w:hyperlink r:id="rId20" w:history="1">
        <w:r>
          <w:rPr>
            <w:rStyle w:val="Hyperlink"/>
          </w:rPr>
          <w:t>https://www.international.gc.ca/trade-commerce/trade-agreements-accords-commerciaux/agr-acc/ceta-aecg/index.aspx?lang=fra</w:t>
        </w:r>
      </w:hyperlink>
    </w:p>
    <w:p w14:paraId="1C365A6A" w14:textId="323AE053" w:rsidR="00ED6A27" w:rsidRPr="00927FD8" w:rsidRDefault="00ED6A27" w:rsidP="00413F5E">
      <w:pPr>
        <w:pStyle w:val="ListParagraph"/>
        <w:numPr>
          <w:ilvl w:val="0"/>
          <w:numId w:val="37"/>
        </w:numPr>
        <w:ind w:left="360"/>
        <w:rPr>
          <w:rFonts w:eastAsia="Times New Roman" w:cs="Arial"/>
          <w:b/>
          <w:bCs/>
          <w:szCs w:val="24"/>
        </w:rPr>
      </w:pPr>
      <w:r>
        <w:rPr>
          <w:b/>
          <w:bCs/>
          <w:szCs w:val="24"/>
        </w:rPr>
        <w:t>Accord de libre-échange canadien (ALEC)</w:t>
      </w:r>
    </w:p>
    <w:p w14:paraId="17BCA307" w14:textId="5F537185" w:rsidR="00ED6A27" w:rsidRPr="00927FD8" w:rsidRDefault="00ED6A27" w:rsidP="00264B5C">
      <w:r>
        <w:t>L’Accord de libre-échange canadien (ALEC) a remplacé l’</w:t>
      </w:r>
      <w:hyperlink r:id="rId21" w:history="1">
        <w:r>
          <w:t>Accord sur le commerce intérieur (ACI)</w:t>
        </w:r>
      </w:hyperlink>
      <w:r>
        <w:t>. Il s’agit d’un</w:t>
      </w:r>
      <w:r>
        <w:rPr>
          <w:color w:val="292929"/>
          <w:shd w:val="clear" w:color="auto" w:fill="FFFFFF"/>
        </w:rPr>
        <w:t xml:space="preserve"> accord commercial intergouvernemental signé par les ministres canadiens qui est entré en vigueur le 1</w:t>
      </w:r>
      <w:r>
        <w:rPr>
          <w:color w:val="292929"/>
          <w:shd w:val="clear" w:color="auto" w:fill="FFFFFF"/>
          <w:vertAlign w:val="superscript"/>
        </w:rPr>
        <w:t>er</w:t>
      </w:r>
      <w:r>
        <w:rPr>
          <w:color w:val="292929"/>
          <w:shd w:val="clear" w:color="auto" w:fill="FFFFFF"/>
        </w:rPr>
        <w:t xml:space="preserve"> juillet 2017. </w:t>
      </w:r>
    </w:p>
    <w:p w14:paraId="4FEEA81E" w14:textId="0BBC1558" w:rsidR="00372D16" w:rsidRPr="00927FD8" w:rsidRDefault="00372D16" w:rsidP="00264B5C">
      <w:pPr>
        <w:rPr>
          <w:color w:val="292929"/>
          <w:sz w:val="26"/>
          <w:szCs w:val="26"/>
          <w:shd w:val="clear" w:color="auto" w:fill="FFFFFF"/>
        </w:rPr>
      </w:pPr>
      <w:r>
        <w:rPr>
          <w:b/>
          <w:bCs/>
          <w:color w:val="292929"/>
          <w:sz w:val="26"/>
          <w:szCs w:val="26"/>
          <w:shd w:val="clear" w:color="auto" w:fill="FFFFFF"/>
        </w:rPr>
        <w:t>Parties à l’accord</w:t>
      </w:r>
      <w:r>
        <w:rPr>
          <w:color w:val="292929"/>
          <w:sz w:val="26"/>
          <w:szCs w:val="26"/>
          <w:shd w:val="clear" w:color="auto" w:fill="FFFFFF"/>
        </w:rPr>
        <w:t> </w:t>
      </w:r>
    </w:p>
    <w:p w14:paraId="4A44EBE1" w14:textId="71B38926" w:rsidR="00372D16" w:rsidRDefault="00372D16" w:rsidP="00264B5C">
      <w:r>
        <w:rPr>
          <w:color w:val="292929"/>
          <w:sz w:val="26"/>
          <w:szCs w:val="26"/>
          <w:shd w:val="clear" w:color="auto" w:fill="FFFFFF"/>
        </w:rPr>
        <w:t xml:space="preserve">Toutes les </w:t>
      </w:r>
      <w:r>
        <w:t xml:space="preserve">provinces et les territoires canadiens ainsi que le gouvernement fédéral </w:t>
      </w:r>
    </w:p>
    <w:p w14:paraId="6F7587ED" w14:textId="1F36E1D2" w:rsidR="0082625F" w:rsidRPr="0062698D" w:rsidRDefault="0082625F" w:rsidP="00264B5C">
      <w:pPr>
        <w:rPr>
          <w:rFonts w:cs="Arial"/>
          <w:szCs w:val="24"/>
          <w:highlight w:val="yellow"/>
        </w:rPr>
      </w:pPr>
      <w:r>
        <w:rPr>
          <w:b/>
          <w:bCs/>
        </w:rPr>
        <w:t>Source :</w:t>
      </w:r>
      <w:r>
        <w:rPr>
          <w:color w:val="006E81" w:themeColor="text2"/>
          <w:szCs w:val="24"/>
        </w:rPr>
        <w:t xml:space="preserve"> </w:t>
      </w:r>
      <w:hyperlink r:id="rId22" w:history="1">
        <w:r>
          <w:rPr>
            <w:rStyle w:val="Hyperlink"/>
          </w:rPr>
          <w:t>https://www.cfta-alec.ca/</w:t>
        </w:r>
      </w:hyperlink>
      <w:r>
        <w:rPr>
          <w:szCs w:val="24"/>
          <w:highlight w:val="yellow"/>
        </w:rPr>
        <w:t xml:space="preserve"> </w:t>
      </w:r>
    </w:p>
    <w:p w14:paraId="254D9C5A" w14:textId="40E84783" w:rsidR="00ED6A27" w:rsidRDefault="00C53631" w:rsidP="00413F5E">
      <w:pPr>
        <w:pStyle w:val="ListParagraph"/>
        <w:numPr>
          <w:ilvl w:val="0"/>
          <w:numId w:val="37"/>
        </w:numPr>
        <w:spacing w:after="240" w:line="240" w:lineRule="auto"/>
        <w:ind w:left="360"/>
        <w:rPr>
          <w:rFonts w:eastAsia="Times New Roman" w:cs="Arial"/>
          <w:b/>
          <w:bCs/>
          <w:szCs w:val="24"/>
        </w:rPr>
      </w:pPr>
      <w:r>
        <w:rPr>
          <w:b/>
          <w:bCs/>
          <w:szCs w:val="24"/>
        </w:rPr>
        <w:t>Accord de commerce et de coopération entre le Québec et l’Ontario (ACCOQ)</w:t>
      </w:r>
    </w:p>
    <w:p w14:paraId="004B957C" w14:textId="00AA9B33" w:rsidR="00372D16" w:rsidRDefault="00ED6A27" w:rsidP="006F2521">
      <w:pPr>
        <w:spacing w:after="240" w:line="240" w:lineRule="auto"/>
        <w:rPr>
          <w:szCs w:val="24"/>
        </w:rPr>
      </w:pPr>
      <w:r>
        <w:t>L’Ontario et le Québec ont signé un accord commercial qui favorise la coopération commerciale et économique entre les deux provinces. Cet accord est entré en vigueur le 1</w:t>
      </w:r>
      <w:r>
        <w:rPr>
          <w:vertAlign w:val="superscript"/>
        </w:rPr>
        <w:t>er</w:t>
      </w:r>
      <w:r>
        <w:t> janvier 2016.</w:t>
      </w:r>
    </w:p>
    <w:p w14:paraId="0DEA5218" w14:textId="1781FB5A" w:rsidR="00E7515F" w:rsidRDefault="00E7515F" w:rsidP="00E7515F">
      <w:r>
        <w:rPr>
          <w:b/>
          <w:bCs/>
        </w:rPr>
        <w:lastRenderedPageBreak/>
        <w:t>Source :</w:t>
      </w:r>
      <w:r>
        <w:rPr>
          <w:color w:val="006E81" w:themeColor="text2"/>
          <w:szCs w:val="24"/>
        </w:rPr>
        <w:t xml:space="preserve"> </w:t>
      </w:r>
      <w:hyperlink r:id="rId23" w:history="1">
        <w:r>
          <w:rPr>
            <w:rStyle w:val="Hyperlink"/>
          </w:rPr>
          <w:t>Accord de commerce et de coopération entre le Québec et l’Ontario | ontario.ca</w:t>
        </w:r>
      </w:hyperlink>
    </w:p>
    <w:p w14:paraId="22E7937D" w14:textId="71A27411" w:rsidR="00691ACE" w:rsidRPr="00151D3B" w:rsidRDefault="00691ACE" w:rsidP="00413F5E">
      <w:pPr>
        <w:pStyle w:val="ListParagraph"/>
        <w:numPr>
          <w:ilvl w:val="0"/>
          <w:numId w:val="37"/>
        </w:numPr>
        <w:spacing w:after="240" w:line="240" w:lineRule="auto"/>
        <w:ind w:left="360"/>
        <w:rPr>
          <w:rFonts w:eastAsia="Times New Roman" w:cs="Arial"/>
          <w:b/>
          <w:bCs/>
          <w:szCs w:val="24"/>
        </w:rPr>
      </w:pPr>
      <w:r>
        <w:rPr>
          <w:b/>
          <w:bCs/>
          <w:szCs w:val="24"/>
        </w:rPr>
        <w:t>Accord de continuité commerciale Canada–Royaume-Uni (ACC Canada–Royaume-Uni)</w:t>
      </w:r>
    </w:p>
    <w:p w14:paraId="4BDEEEED" w14:textId="6A93AD18" w:rsidR="00C500FD" w:rsidRPr="000202DB" w:rsidRDefault="46414DEF" w:rsidP="006F2521">
      <w:pPr>
        <w:spacing w:after="240" w:line="240" w:lineRule="auto"/>
        <w:rPr>
          <w:szCs w:val="24"/>
        </w:rPr>
      </w:pPr>
      <w:r>
        <w:t xml:space="preserve">Le 1er janvier 2021, le </w:t>
      </w:r>
      <w:bookmarkStart w:id="231" w:name="_Int_ia7ZUWuO"/>
      <w:r>
        <w:t>Royaume-Uni</w:t>
      </w:r>
      <w:bookmarkEnd w:id="231"/>
      <w:r>
        <w:t xml:space="preserve"> a entièrement quitté l’UE, et l’AECG a cessé de s’appliquer aux relations entre le Canada et le Royaume-Uni. L’ACC Canada–Royaume-Uni est entré en vigueur le 1</w:t>
      </w:r>
      <w:r>
        <w:rPr>
          <w:vertAlign w:val="superscript"/>
        </w:rPr>
        <w:t>er</w:t>
      </w:r>
      <w:r>
        <w:t> avril 2021. Il reproduit les règles de procédure et les engagements en matière d’accès au marché dont le Canada et le Royaume-Uni avaient convenu dans le cadre de l’AECG.</w:t>
      </w:r>
    </w:p>
    <w:p w14:paraId="3F29CAEE" w14:textId="709458CD" w:rsidR="00DC7DCF" w:rsidRDefault="00B26A85" w:rsidP="00B26A85">
      <w:pPr>
        <w:rPr>
          <w:rFonts w:cs="Arial"/>
          <w:color w:val="006E81" w:themeColor="text2"/>
          <w:szCs w:val="24"/>
        </w:rPr>
        <w:sectPr w:rsidR="00DC7DCF" w:rsidSect="00BC62B7">
          <w:type w:val="continuous"/>
          <w:pgSz w:w="12240" w:h="15840"/>
          <w:pgMar w:top="1440" w:right="1440" w:bottom="1440" w:left="1440" w:header="308" w:footer="340" w:gutter="0"/>
          <w:cols w:space="708"/>
          <w:titlePg/>
          <w:docGrid w:linePitch="360"/>
        </w:sectPr>
      </w:pPr>
      <w:r>
        <w:rPr>
          <w:b/>
          <w:bCs/>
          <w:szCs w:val="24"/>
        </w:rPr>
        <w:t>Sources :</w:t>
      </w:r>
      <w:r>
        <w:t xml:space="preserve"> </w:t>
      </w:r>
      <w:hyperlink r:id="rId24" w:history="1">
        <w:r>
          <w:rPr>
            <w:rStyle w:val="Hyperlink"/>
          </w:rPr>
          <w:t>https://www.international.gc.ca/trade-commerce/trade-agreements-accords-commerciaux/agr-acc/cuktca-acccru/trade-continuity-agreement.aspx?lang=fra</w:t>
        </w:r>
      </w:hyperlink>
      <w:r>
        <w:rPr>
          <w:color w:val="006E81" w:themeColor="text2"/>
          <w:szCs w:val="24"/>
        </w:rPr>
        <w:t xml:space="preserve"> </w:t>
      </w:r>
    </w:p>
    <w:p w14:paraId="36D56214" w14:textId="77777777" w:rsidR="006E7BC7" w:rsidRDefault="006B255F" w:rsidP="006F3345">
      <w:pPr>
        <w:pStyle w:val="Heading2"/>
      </w:pPr>
      <w:bookmarkStart w:id="232" w:name="_Toc175666960"/>
      <w:r>
        <w:lastRenderedPageBreak/>
        <w:t>Annexe D : La stratégie de l’IDEO en un coup d’œil pour les acheteurs de la FPO</w:t>
      </w:r>
      <w:bookmarkEnd w:id="232"/>
      <w:r>
        <w:t xml:space="preserve"> </w:t>
      </w:r>
    </w:p>
    <w:p w14:paraId="3F33F4D5" w14:textId="75B4DED4" w:rsidR="00390C05" w:rsidRPr="00081281" w:rsidRDefault="00F173D9" w:rsidP="00081281">
      <w:pPr>
        <w:spacing w:before="360" w:after="0"/>
        <w:rPr>
          <w:b/>
          <w:bCs/>
          <w:color w:val="7030A0"/>
          <w:sz w:val="22"/>
        </w:rPr>
      </w:pPr>
      <w:r>
        <w:rPr>
          <w:b/>
          <w:bCs/>
          <w:color w:val="7030A0"/>
          <w:sz w:val="22"/>
        </w:rPr>
        <w:t>PROCESSUS D’APPROVISIONNEMENT PAR INVITATION À SOUMISSIONNER</w:t>
      </w:r>
    </w:p>
    <w:tbl>
      <w:tblPr>
        <w:tblStyle w:val="TableGrid"/>
        <w:tblW w:w="18445" w:type="dxa"/>
        <w:tblLook w:val="04A0" w:firstRow="1" w:lastRow="0" w:firstColumn="1" w:lastColumn="0" w:noHBand="0" w:noVBand="1"/>
      </w:tblPr>
      <w:tblGrid>
        <w:gridCol w:w="3505"/>
        <w:gridCol w:w="10530"/>
        <w:gridCol w:w="4410"/>
      </w:tblGrid>
      <w:tr w:rsidR="00390C05" w:rsidRPr="00EA217C" w14:paraId="303431D8" w14:textId="77777777" w:rsidTr="00503900">
        <w:trPr>
          <w:trHeight w:val="393"/>
        </w:trPr>
        <w:tc>
          <w:tcPr>
            <w:tcW w:w="3505" w:type="dxa"/>
          </w:tcPr>
          <w:p w14:paraId="2579F9A9" w14:textId="67009150" w:rsidR="00390C05" w:rsidRPr="00EA217C" w:rsidRDefault="00390C05" w:rsidP="00B44D70">
            <w:pPr>
              <w:tabs>
                <w:tab w:val="left" w:pos="13060"/>
              </w:tabs>
              <w:spacing w:before="0" w:after="0" w:line="240" w:lineRule="auto"/>
              <w:jc w:val="center"/>
              <w:rPr>
                <w:b/>
                <w:bCs/>
                <w:color w:val="7030A0"/>
                <w:sz w:val="21"/>
                <w:szCs w:val="21"/>
              </w:rPr>
            </w:pPr>
            <w:r>
              <w:rPr>
                <w:b/>
                <w:bCs/>
                <w:sz w:val="21"/>
                <w:szCs w:val="21"/>
              </w:rPr>
              <w:t>Approche</w:t>
            </w:r>
          </w:p>
        </w:tc>
        <w:tc>
          <w:tcPr>
            <w:tcW w:w="10530" w:type="dxa"/>
          </w:tcPr>
          <w:p w14:paraId="536BA0F5" w14:textId="0C7F1CF7" w:rsidR="00390C05" w:rsidRPr="00EA217C" w:rsidRDefault="00390C05" w:rsidP="00B44D70">
            <w:pPr>
              <w:tabs>
                <w:tab w:val="left" w:pos="13060"/>
              </w:tabs>
              <w:spacing w:before="0" w:after="0" w:line="240" w:lineRule="auto"/>
              <w:jc w:val="center"/>
              <w:rPr>
                <w:b/>
                <w:bCs/>
                <w:color w:val="7030A0"/>
                <w:sz w:val="21"/>
                <w:szCs w:val="21"/>
              </w:rPr>
            </w:pPr>
            <w:r>
              <w:rPr>
                <w:b/>
                <w:bCs/>
                <w:sz w:val="21"/>
                <w:szCs w:val="21"/>
              </w:rPr>
              <w:t>Stratégie</w:t>
            </w:r>
          </w:p>
        </w:tc>
        <w:tc>
          <w:tcPr>
            <w:tcW w:w="4410" w:type="dxa"/>
          </w:tcPr>
          <w:p w14:paraId="630ACBAA" w14:textId="3B7748D9" w:rsidR="00390C05" w:rsidRPr="00EA217C" w:rsidRDefault="009926C3" w:rsidP="00B44D70">
            <w:pPr>
              <w:tabs>
                <w:tab w:val="left" w:pos="13060"/>
              </w:tabs>
              <w:spacing w:before="0" w:after="0" w:line="240" w:lineRule="auto"/>
              <w:jc w:val="center"/>
              <w:rPr>
                <w:b/>
                <w:bCs/>
                <w:color w:val="7030A0"/>
                <w:sz w:val="21"/>
                <w:szCs w:val="21"/>
              </w:rPr>
            </w:pPr>
            <w:r>
              <w:rPr>
                <w:b/>
                <w:bCs/>
                <w:sz w:val="21"/>
                <w:szCs w:val="21"/>
              </w:rPr>
              <w:t>Seuil</w:t>
            </w:r>
            <w:r w:rsidRPr="00EA217C">
              <w:rPr>
                <w:rStyle w:val="FootnoteReference"/>
                <w:b/>
                <w:bCs/>
                <w:sz w:val="21"/>
                <w:szCs w:val="21"/>
              </w:rPr>
              <w:footnoteReference w:id="6"/>
            </w:r>
          </w:p>
        </w:tc>
      </w:tr>
      <w:tr w:rsidR="00390C05" w:rsidRPr="00EA217C" w14:paraId="5BF153A1" w14:textId="77777777" w:rsidTr="00503900">
        <w:trPr>
          <w:trHeight w:val="1097"/>
        </w:trPr>
        <w:tc>
          <w:tcPr>
            <w:tcW w:w="3505" w:type="dxa"/>
          </w:tcPr>
          <w:p w14:paraId="424F2999" w14:textId="58CD68EE" w:rsidR="00390C05" w:rsidRPr="00EA217C" w:rsidRDefault="00B44D70" w:rsidP="00C76A8C">
            <w:pPr>
              <w:tabs>
                <w:tab w:val="left" w:pos="13060"/>
              </w:tabs>
              <w:spacing w:before="0" w:after="0" w:line="240" w:lineRule="auto"/>
              <w:rPr>
                <w:b/>
                <w:bCs/>
                <w:color w:val="7030A0"/>
                <w:sz w:val="21"/>
                <w:szCs w:val="21"/>
              </w:rPr>
            </w:pPr>
            <w:r>
              <w:rPr>
                <w:sz w:val="21"/>
                <w:szCs w:val="21"/>
              </w:rPr>
              <w:t>En dessous des seuils des accords commerciaux nationaux</w:t>
            </w:r>
          </w:p>
        </w:tc>
        <w:tc>
          <w:tcPr>
            <w:tcW w:w="10530" w:type="dxa"/>
          </w:tcPr>
          <w:p w14:paraId="71FB97E3" w14:textId="7A579035" w:rsidR="00390C05" w:rsidRPr="00EA217C" w:rsidRDefault="00B44D70" w:rsidP="00B44D70">
            <w:pPr>
              <w:tabs>
                <w:tab w:val="left" w:pos="13060"/>
              </w:tabs>
              <w:spacing w:before="0" w:after="0" w:line="240" w:lineRule="auto"/>
              <w:rPr>
                <w:b/>
                <w:bCs/>
                <w:color w:val="7030A0"/>
                <w:sz w:val="21"/>
                <w:szCs w:val="21"/>
              </w:rPr>
            </w:pPr>
            <w:r>
              <w:rPr>
                <w:sz w:val="21"/>
                <w:szCs w:val="21"/>
              </w:rPr>
              <w:t>Les organismes publics doivent privilégier les entreprises ontariennes. Dans la mesure du possible, l’acheteur ne devrait inviter que des entreprises ontariennes. Si ce n’est pas possible, accorder un avantage d’évaluation de 10 % aux entreprises ontariennes soumissionnaires.</w:t>
            </w:r>
          </w:p>
        </w:tc>
        <w:tc>
          <w:tcPr>
            <w:tcW w:w="4410" w:type="dxa"/>
          </w:tcPr>
          <w:p w14:paraId="3DF29190" w14:textId="77777777" w:rsidR="00D74BA0" w:rsidRPr="00EA217C" w:rsidRDefault="00D74BA0" w:rsidP="00D74BA0">
            <w:pPr>
              <w:spacing w:before="0" w:after="0" w:line="240" w:lineRule="auto"/>
              <w:rPr>
                <w:sz w:val="21"/>
                <w:szCs w:val="21"/>
              </w:rPr>
            </w:pPr>
            <w:r>
              <w:rPr>
                <w:sz w:val="21"/>
                <w:szCs w:val="21"/>
              </w:rPr>
              <w:t>Biens – moins de 30 300 $</w:t>
            </w:r>
          </w:p>
          <w:p w14:paraId="1DC7122A" w14:textId="77777777" w:rsidR="00D74BA0" w:rsidRPr="00EA217C" w:rsidRDefault="00D74BA0" w:rsidP="00D74BA0">
            <w:pPr>
              <w:spacing w:before="0" w:after="0" w:line="240" w:lineRule="auto"/>
              <w:rPr>
                <w:b/>
                <w:bCs/>
                <w:sz w:val="21"/>
                <w:szCs w:val="21"/>
              </w:rPr>
            </w:pPr>
            <w:r>
              <w:rPr>
                <w:sz w:val="21"/>
                <w:szCs w:val="21"/>
              </w:rPr>
              <w:t>Services – moins de 121 200 $</w:t>
            </w:r>
            <w:r>
              <w:rPr>
                <w:b/>
                <w:bCs/>
                <w:sz w:val="21"/>
                <w:szCs w:val="21"/>
              </w:rPr>
              <w:t xml:space="preserve"> </w:t>
            </w:r>
          </w:p>
          <w:p w14:paraId="5BFEE057" w14:textId="77777777" w:rsidR="00390C05" w:rsidRPr="00EA217C" w:rsidRDefault="00390C05" w:rsidP="00B44D70">
            <w:pPr>
              <w:tabs>
                <w:tab w:val="left" w:pos="13060"/>
              </w:tabs>
              <w:spacing w:before="0" w:after="0" w:line="240" w:lineRule="auto"/>
              <w:jc w:val="center"/>
              <w:rPr>
                <w:b/>
                <w:bCs/>
                <w:color w:val="7030A0"/>
                <w:sz w:val="21"/>
                <w:szCs w:val="21"/>
              </w:rPr>
            </w:pPr>
          </w:p>
        </w:tc>
      </w:tr>
    </w:tbl>
    <w:p w14:paraId="7C569C74" w14:textId="77777777" w:rsidR="00E37F3E" w:rsidRPr="006E7BC7" w:rsidRDefault="00E37F3E" w:rsidP="00E37F3E">
      <w:pPr>
        <w:spacing w:before="360" w:after="0"/>
        <w:rPr>
          <w:b/>
          <w:bCs/>
          <w:color w:val="7030A0"/>
          <w:sz w:val="22"/>
        </w:rPr>
      </w:pPr>
      <w:r>
        <w:rPr>
          <w:b/>
          <w:bCs/>
          <w:color w:val="7030A0"/>
          <w:sz w:val="22"/>
        </w:rPr>
        <w:t>APPROVISIONNEMENT PAR APPEL D’OFFRES CONCURRENTIEL OUVERT</w:t>
      </w:r>
    </w:p>
    <w:tbl>
      <w:tblPr>
        <w:tblStyle w:val="TableGrid"/>
        <w:tblW w:w="18445" w:type="dxa"/>
        <w:tblLook w:val="04A0" w:firstRow="1" w:lastRow="0" w:firstColumn="1" w:lastColumn="0" w:noHBand="0" w:noVBand="1"/>
      </w:tblPr>
      <w:tblGrid>
        <w:gridCol w:w="3505"/>
        <w:gridCol w:w="10530"/>
        <w:gridCol w:w="4410"/>
      </w:tblGrid>
      <w:tr w:rsidR="00BB0154" w:rsidRPr="006E7BC7" w14:paraId="779EAE16" w14:textId="77777777" w:rsidTr="00503900">
        <w:trPr>
          <w:trHeight w:val="405"/>
        </w:trPr>
        <w:tc>
          <w:tcPr>
            <w:tcW w:w="3505" w:type="dxa"/>
          </w:tcPr>
          <w:p w14:paraId="0B20DE2A" w14:textId="77777777" w:rsidR="00BB0154" w:rsidRPr="00EA217C" w:rsidRDefault="00BB0154" w:rsidP="002018CF">
            <w:pPr>
              <w:tabs>
                <w:tab w:val="left" w:pos="13060"/>
              </w:tabs>
              <w:spacing w:before="0" w:after="0" w:line="240" w:lineRule="auto"/>
              <w:jc w:val="center"/>
              <w:rPr>
                <w:b/>
                <w:bCs/>
                <w:color w:val="7030A0"/>
                <w:sz w:val="21"/>
                <w:szCs w:val="21"/>
              </w:rPr>
            </w:pPr>
            <w:r>
              <w:rPr>
                <w:b/>
                <w:bCs/>
                <w:sz w:val="21"/>
                <w:szCs w:val="21"/>
              </w:rPr>
              <w:t>Approche</w:t>
            </w:r>
          </w:p>
        </w:tc>
        <w:tc>
          <w:tcPr>
            <w:tcW w:w="10530" w:type="dxa"/>
          </w:tcPr>
          <w:p w14:paraId="06F7B991" w14:textId="77777777" w:rsidR="00BB0154" w:rsidRPr="00EA217C" w:rsidRDefault="00BB0154" w:rsidP="002018CF">
            <w:pPr>
              <w:tabs>
                <w:tab w:val="left" w:pos="13060"/>
              </w:tabs>
              <w:spacing w:before="0" w:after="0" w:line="240" w:lineRule="auto"/>
              <w:jc w:val="center"/>
              <w:rPr>
                <w:b/>
                <w:bCs/>
                <w:color w:val="7030A0"/>
                <w:sz w:val="21"/>
                <w:szCs w:val="21"/>
              </w:rPr>
            </w:pPr>
            <w:r>
              <w:rPr>
                <w:b/>
                <w:bCs/>
                <w:sz w:val="21"/>
                <w:szCs w:val="21"/>
              </w:rPr>
              <w:t>Stratégie</w:t>
            </w:r>
          </w:p>
        </w:tc>
        <w:tc>
          <w:tcPr>
            <w:tcW w:w="4410" w:type="dxa"/>
          </w:tcPr>
          <w:p w14:paraId="6896AE04" w14:textId="5825D4A2" w:rsidR="00BB0154" w:rsidRPr="00EA217C" w:rsidRDefault="00BB0154" w:rsidP="002018CF">
            <w:pPr>
              <w:tabs>
                <w:tab w:val="left" w:pos="13060"/>
              </w:tabs>
              <w:spacing w:before="0" w:after="0" w:line="240" w:lineRule="auto"/>
              <w:jc w:val="center"/>
              <w:rPr>
                <w:b/>
                <w:bCs/>
                <w:color w:val="7030A0"/>
                <w:sz w:val="21"/>
                <w:szCs w:val="21"/>
              </w:rPr>
            </w:pPr>
            <w:r>
              <w:rPr>
                <w:b/>
                <w:bCs/>
                <w:sz w:val="21"/>
                <w:szCs w:val="21"/>
              </w:rPr>
              <w:t>Seuil</w:t>
            </w:r>
          </w:p>
        </w:tc>
      </w:tr>
      <w:tr w:rsidR="00BB0154" w:rsidRPr="006E7BC7" w14:paraId="4E4744BB" w14:textId="77777777" w:rsidTr="00503900">
        <w:trPr>
          <w:trHeight w:val="1016"/>
        </w:trPr>
        <w:tc>
          <w:tcPr>
            <w:tcW w:w="3505" w:type="dxa"/>
          </w:tcPr>
          <w:p w14:paraId="1D896BA5" w14:textId="15859A89" w:rsidR="00BB0154" w:rsidRPr="00EA217C" w:rsidRDefault="00C76A8C" w:rsidP="00C76A8C">
            <w:pPr>
              <w:tabs>
                <w:tab w:val="left" w:pos="13060"/>
              </w:tabs>
              <w:spacing w:before="0" w:after="0" w:line="240" w:lineRule="auto"/>
              <w:rPr>
                <w:b/>
                <w:bCs/>
                <w:color w:val="7030A0"/>
                <w:sz w:val="21"/>
                <w:szCs w:val="21"/>
              </w:rPr>
            </w:pPr>
            <w:r>
              <w:rPr>
                <w:sz w:val="21"/>
                <w:szCs w:val="21"/>
              </w:rPr>
              <w:t>En dessous des seuils des accords commerciaux internationaux, mais au-dessus des seuils des accords commerciaux nationaux</w:t>
            </w:r>
          </w:p>
        </w:tc>
        <w:tc>
          <w:tcPr>
            <w:tcW w:w="10530" w:type="dxa"/>
            <w:tcBorders>
              <w:bottom w:val="single" w:sz="4" w:space="0" w:color="auto"/>
            </w:tcBorders>
          </w:tcPr>
          <w:p w14:paraId="3BF350EA" w14:textId="6DCEB0E0" w:rsidR="00BB0154" w:rsidRPr="00EA217C" w:rsidRDefault="005C725A" w:rsidP="002018CF">
            <w:pPr>
              <w:tabs>
                <w:tab w:val="left" w:pos="13060"/>
              </w:tabs>
              <w:spacing w:before="0" w:after="0" w:line="240" w:lineRule="auto"/>
              <w:rPr>
                <w:b/>
                <w:bCs/>
                <w:color w:val="7030A0"/>
                <w:sz w:val="21"/>
                <w:szCs w:val="21"/>
              </w:rPr>
            </w:pPr>
            <w:r>
              <w:rPr>
                <w:sz w:val="21"/>
                <w:szCs w:val="21"/>
              </w:rPr>
              <w:t>Les organismes publics doivent privilégier les entreprises canadiennes. Dans la mesure du possible, limiter le droit de répondre à l’appel d’offres aux entreprises canadiennes et, si ce n’est pas possible, accorder un avantage de 10 % aux entreprises canadiennes soumissionnaires lors de l’évaluation.</w:t>
            </w:r>
          </w:p>
        </w:tc>
        <w:tc>
          <w:tcPr>
            <w:tcW w:w="4410" w:type="dxa"/>
            <w:tcBorders>
              <w:bottom w:val="single" w:sz="4" w:space="0" w:color="auto"/>
            </w:tcBorders>
          </w:tcPr>
          <w:p w14:paraId="70931C64" w14:textId="77777777" w:rsidR="00E16337" w:rsidRPr="00EA217C" w:rsidRDefault="00E16337" w:rsidP="007931C9">
            <w:pPr>
              <w:spacing w:before="0" w:after="0" w:line="240" w:lineRule="auto"/>
              <w:rPr>
                <w:sz w:val="21"/>
                <w:szCs w:val="21"/>
              </w:rPr>
            </w:pPr>
            <w:r>
              <w:rPr>
                <w:sz w:val="21"/>
                <w:szCs w:val="21"/>
              </w:rPr>
              <w:t>Biens – de 30 300 à 353 300 $</w:t>
            </w:r>
          </w:p>
          <w:p w14:paraId="5BB51DDB" w14:textId="56B508E9" w:rsidR="00BB0154" w:rsidRPr="00EA217C" w:rsidRDefault="00E16337" w:rsidP="007931C9">
            <w:pPr>
              <w:tabs>
                <w:tab w:val="left" w:pos="13060"/>
              </w:tabs>
              <w:spacing w:before="0" w:after="0" w:line="240" w:lineRule="auto"/>
              <w:rPr>
                <w:b/>
                <w:bCs/>
                <w:color w:val="7030A0"/>
                <w:sz w:val="21"/>
                <w:szCs w:val="21"/>
              </w:rPr>
            </w:pPr>
            <w:r>
              <w:rPr>
                <w:sz w:val="21"/>
                <w:szCs w:val="21"/>
              </w:rPr>
              <w:t>Services – de 121 200 à 353 300 $</w:t>
            </w:r>
          </w:p>
        </w:tc>
      </w:tr>
      <w:tr w:rsidR="00081281" w:rsidRPr="006E7BC7" w14:paraId="2FCEFD09" w14:textId="77777777" w:rsidTr="00503900">
        <w:tc>
          <w:tcPr>
            <w:tcW w:w="3505" w:type="dxa"/>
            <w:vMerge w:val="restart"/>
            <w:tcBorders>
              <w:top w:val="single" w:sz="4" w:space="0" w:color="auto"/>
              <w:left w:val="single" w:sz="4" w:space="0" w:color="auto"/>
              <w:right w:val="single" w:sz="4" w:space="0" w:color="auto"/>
            </w:tcBorders>
          </w:tcPr>
          <w:p w14:paraId="63250F7C" w14:textId="067276EC" w:rsidR="00081281" w:rsidRPr="00EA217C" w:rsidRDefault="00081281" w:rsidP="00081281">
            <w:pPr>
              <w:tabs>
                <w:tab w:val="left" w:pos="13060"/>
              </w:tabs>
              <w:spacing w:before="0" w:after="0" w:line="240" w:lineRule="auto"/>
              <w:rPr>
                <w:b/>
                <w:bCs/>
                <w:color w:val="7030A0"/>
                <w:sz w:val="21"/>
                <w:szCs w:val="21"/>
              </w:rPr>
            </w:pPr>
            <w:r>
              <w:rPr>
                <w:sz w:val="21"/>
                <w:szCs w:val="21"/>
              </w:rPr>
              <w:t>Au-dessus des seuils des accords internationaux</w:t>
            </w:r>
          </w:p>
        </w:tc>
        <w:tc>
          <w:tcPr>
            <w:tcW w:w="10530" w:type="dxa"/>
            <w:tcBorders>
              <w:top w:val="single" w:sz="4" w:space="0" w:color="auto"/>
              <w:left w:val="single" w:sz="4" w:space="0" w:color="auto"/>
              <w:bottom w:val="single" w:sz="4" w:space="0" w:color="auto"/>
              <w:right w:val="single" w:sz="4" w:space="0" w:color="auto"/>
            </w:tcBorders>
          </w:tcPr>
          <w:p w14:paraId="1FCFE1E3" w14:textId="7DFE5C3C" w:rsidR="00081281" w:rsidRPr="00EA217C" w:rsidRDefault="00081281" w:rsidP="00081281">
            <w:pPr>
              <w:tabs>
                <w:tab w:val="left" w:pos="13060"/>
              </w:tabs>
              <w:spacing w:before="0" w:after="0" w:line="240" w:lineRule="auto"/>
              <w:rPr>
                <w:b/>
                <w:bCs/>
                <w:color w:val="7030A0"/>
                <w:sz w:val="21"/>
                <w:szCs w:val="21"/>
              </w:rPr>
            </w:pPr>
            <w:r>
              <w:rPr>
                <w:sz w:val="21"/>
                <w:szCs w:val="21"/>
              </w:rPr>
              <w:t>Les entités gouvernementales doivent privilégier les entreprises des partenaires commerciaux de l’Ontario.</w:t>
            </w:r>
          </w:p>
        </w:tc>
        <w:tc>
          <w:tcPr>
            <w:tcW w:w="4410" w:type="dxa"/>
            <w:tcBorders>
              <w:top w:val="single" w:sz="4" w:space="0" w:color="auto"/>
              <w:left w:val="single" w:sz="4" w:space="0" w:color="auto"/>
              <w:bottom w:val="single" w:sz="4" w:space="0" w:color="auto"/>
              <w:right w:val="single" w:sz="4" w:space="0" w:color="auto"/>
            </w:tcBorders>
          </w:tcPr>
          <w:p w14:paraId="2BC1B792" w14:textId="77777777" w:rsidR="00081281" w:rsidRPr="00EA217C" w:rsidRDefault="00081281" w:rsidP="00081281">
            <w:pPr>
              <w:spacing w:before="0" w:after="0" w:line="240" w:lineRule="auto"/>
              <w:rPr>
                <w:sz w:val="21"/>
                <w:szCs w:val="21"/>
              </w:rPr>
            </w:pPr>
            <w:r>
              <w:rPr>
                <w:sz w:val="21"/>
                <w:szCs w:val="21"/>
              </w:rPr>
              <w:t>Biens – de 30 300 à 353 300 $</w:t>
            </w:r>
          </w:p>
          <w:p w14:paraId="412E7F1B" w14:textId="41AC229F" w:rsidR="00081281" w:rsidRPr="00EA217C" w:rsidRDefault="00081281" w:rsidP="00081281">
            <w:pPr>
              <w:tabs>
                <w:tab w:val="left" w:pos="13060"/>
              </w:tabs>
              <w:spacing w:before="0" w:after="0" w:line="240" w:lineRule="auto"/>
              <w:rPr>
                <w:b/>
                <w:bCs/>
                <w:color w:val="7030A0"/>
                <w:sz w:val="21"/>
                <w:szCs w:val="21"/>
              </w:rPr>
            </w:pPr>
            <w:r>
              <w:rPr>
                <w:sz w:val="21"/>
                <w:szCs w:val="21"/>
              </w:rPr>
              <w:t>Services – de 121 200 à 353 300 $</w:t>
            </w:r>
          </w:p>
        </w:tc>
      </w:tr>
      <w:tr w:rsidR="00081281" w:rsidRPr="006E7BC7" w14:paraId="5949CC0B" w14:textId="77777777" w:rsidTr="00503900">
        <w:tc>
          <w:tcPr>
            <w:tcW w:w="3505" w:type="dxa"/>
            <w:vMerge/>
            <w:tcBorders>
              <w:left w:val="single" w:sz="4" w:space="0" w:color="auto"/>
              <w:right w:val="single" w:sz="4" w:space="0" w:color="auto"/>
            </w:tcBorders>
          </w:tcPr>
          <w:p w14:paraId="77D688CD" w14:textId="77777777" w:rsidR="00081281" w:rsidRPr="00EA217C" w:rsidRDefault="00081281" w:rsidP="00081281">
            <w:pPr>
              <w:tabs>
                <w:tab w:val="left" w:pos="13060"/>
              </w:tabs>
              <w:spacing w:before="0" w:after="0" w:line="240" w:lineRule="auto"/>
              <w:rPr>
                <w:sz w:val="21"/>
                <w:szCs w:val="21"/>
              </w:rPr>
            </w:pPr>
          </w:p>
        </w:tc>
        <w:tc>
          <w:tcPr>
            <w:tcW w:w="10530" w:type="dxa"/>
            <w:tcBorders>
              <w:top w:val="single" w:sz="4" w:space="0" w:color="auto"/>
              <w:left w:val="single" w:sz="4" w:space="0" w:color="auto"/>
              <w:bottom w:val="single" w:sz="4" w:space="0" w:color="auto"/>
              <w:right w:val="single" w:sz="4" w:space="0" w:color="auto"/>
            </w:tcBorders>
          </w:tcPr>
          <w:p w14:paraId="7C4B1DC0" w14:textId="4E2D4C6B" w:rsidR="00081281" w:rsidRPr="00EA217C" w:rsidRDefault="00081281" w:rsidP="00081281">
            <w:pPr>
              <w:tabs>
                <w:tab w:val="left" w:pos="13060"/>
              </w:tabs>
              <w:spacing w:before="0" w:after="0" w:line="240" w:lineRule="auto"/>
              <w:rPr>
                <w:b/>
                <w:bCs/>
                <w:color w:val="7030A0"/>
                <w:sz w:val="21"/>
                <w:szCs w:val="21"/>
              </w:rPr>
            </w:pPr>
            <w:r>
              <w:rPr>
                <w:sz w:val="21"/>
                <w:szCs w:val="21"/>
              </w:rPr>
              <w:t>Appliquer des critères nationaux pondérés dans les évaluations d’approvisionnement</w:t>
            </w:r>
          </w:p>
        </w:tc>
        <w:tc>
          <w:tcPr>
            <w:tcW w:w="4410" w:type="dxa"/>
            <w:tcBorders>
              <w:top w:val="single" w:sz="4" w:space="0" w:color="auto"/>
              <w:left w:val="single" w:sz="4" w:space="0" w:color="auto"/>
              <w:bottom w:val="single" w:sz="4" w:space="0" w:color="auto"/>
              <w:right w:val="single" w:sz="4" w:space="0" w:color="auto"/>
            </w:tcBorders>
          </w:tcPr>
          <w:p w14:paraId="6947A1E4" w14:textId="77777777" w:rsidR="00081281" w:rsidRPr="00EA217C" w:rsidRDefault="00081281" w:rsidP="00081281">
            <w:pPr>
              <w:spacing w:before="0" w:after="0" w:line="240" w:lineRule="auto"/>
              <w:rPr>
                <w:sz w:val="21"/>
                <w:szCs w:val="21"/>
              </w:rPr>
            </w:pPr>
            <w:r>
              <w:rPr>
                <w:sz w:val="21"/>
                <w:szCs w:val="21"/>
              </w:rPr>
              <w:t xml:space="preserve">Biens et services – plus de 353 300 $ </w:t>
            </w:r>
          </w:p>
          <w:p w14:paraId="68C14390" w14:textId="3A87BBBE" w:rsidR="00081281" w:rsidRPr="00EA217C" w:rsidRDefault="00081281" w:rsidP="00081281">
            <w:pPr>
              <w:tabs>
                <w:tab w:val="left" w:pos="13060"/>
              </w:tabs>
              <w:spacing w:before="0" w:after="0" w:line="240" w:lineRule="auto"/>
              <w:rPr>
                <w:b/>
                <w:bCs/>
                <w:color w:val="7030A0"/>
                <w:sz w:val="21"/>
                <w:szCs w:val="21"/>
              </w:rPr>
            </w:pPr>
          </w:p>
        </w:tc>
      </w:tr>
      <w:tr w:rsidR="00081281" w:rsidRPr="006E7BC7" w14:paraId="1EEA9C52" w14:textId="77777777" w:rsidTr="00503900">
        <w:tc>
          <w:tcPr>
            <w:tcW w:w="3505" w:type="dxa"/>
            <w:vMerge/>
            <w:tcBorders>
              <w:left w:val="single" w:sz="4" w:space="0" w:color="auto"/>
              <w:right w:val="single" w:sz="4" w:space="0" w:color="auto"/>
            </w:tcBorders>
          </w:tcPr>
          <w:p w14:paraId="65E1ACD3" w14:textId="77777777" w:rsidR="00081281" w:rsidRPr="00EA217C" w:rsidRDefault="00081281" w:rsidP="00081281">
            <w:pPr>
              <w:tabs>
                <w:tab w:val="left" w:pos="13060"/>
              </w:tabs>
              <w:spacing w:before="0" w:after="0" w:line="240" w:lineRule="auto"/>
              <w:rPr>
                <w:sz w:val="21"/>
                <w:szCs w:val="21"/>
              </w:rPr>
            </w:pPr>
          </w:p>
        </w:tc>
        <w:tc>
          <w:tcPr>
            <w:tcW w:w="10530" w:type="dxa"/>
            <w:tcBorders>
              <w:top w:val="single" w:sz="4" w:space="0" w:color="auto"/>
              <w:left w:val="single" w:sz="4" w:space="0" w:color="auto"/>
              <w:right w:val="single" w:sz="4" w:space="0" w:color="auto"/>
            </w:tcBorders>
          </w:tcPr>
          <w:p w14:paraId="1DB013AA" w14:textId="1420A414" w:rsidR="00081281" w:rsidRPr="00EA217C" w:rsidRDefault="00081281" w:rsidP="00081281">
            <w:pPr>
              <w:tabs>
                <w:tab w:val="left" w:pos="13060"/>
              </w:tabs>
              <w:spacing w:before="0" w:after="0" w:line="240" w:lineRule="auto"/>
              <w:rPr>
                <w:b/>
                <w:bCs/>
                <w:color w:val="7030A0"/>
                <w:sz w:val="21"/>
                <w:szCs w:val="21"/>
              </w:rPr>
            </w:pPr>
            <w:r>
              <w:rPr>
                <w:sz w:val="21"/>
                <w:szCs w:val="21"/>
              </w:rPr>
              <w:t>Pour les contrats d’approvisionnement d’une valeur estimative de 50 millions de dollars ou plus dans certains secteurs, il faut inclure une obligation de retombées industrielles, régionales et technologiques (les « IRTB ») pour les fournisseurs.</w:t>
            </w:r>
          </w:p>
        </w:tc>
        <w:tc>
          <w:tcPr>
            <w:tcW w:w="4410" w:type="dxa"/>
            <w:tcBorders>
              <w:top w:val="single" w:sz="4" w:space="0" w:color="auto"/>
              <w:left w:val="single" w:sz="4" w:space="0" w:color="auto"/>
              <w:bottom w:val="single" w:sz="4" w:space="0" w:color="auto"/>
              <w:right w:val="single" w:sz="4" w:space="0" w:color="auto"/>
            </w:tcBorders>
          </w:tcPr>
          <w:p w14:paraId="06EF21A6" w14:textId="043A3979" w:rsidR="00081281" w:rsidRPr="00EA217C" w:rsidRDefault="00081281" w:rsidP="00081281">
            <w:pPr>
              <w:tabs>
                <w:tab w:val="left" w:pos="13060"/>
              </w:tabs>
              <w:spacing w:before="0" w:after="0" w:line="240" w:lineRule="auto"/>
              <w:rPr>
                <w:b/>
                <w:bCs/>
                <w:color w:val="7030A0"/>
                <w:sz w:val="21"/>
                <w:szCs w:val="21"/>
              </w:rPr>
            </w:pPr>
            <w:r>
              <w:rPr>
                <w:sz w:val="21"/>
                <w:szCs w:val="21"/>
              </w:rPr>
              <w:t>50 M$ ou plus</w:t>
            </w:r>
          </w:p>
        </w:tc>
      </w:tr>
    </w:tbl>
    <w:p w14:paraId="6A7DE0E1" w14:textId="77777777" w:rsidR="002D13E4" w:rsidRDefault="002D13E4" w:rsidP="00485F73">
      <w:pPr>
        <w:spacing w:before="360" w:after="0"/>
        <w:rPr>
          <w:b/>
          <w:bCs/>
          <w:color w:val="7030A0"/>
          <w:sz w:val="22"/>
        </w:rPr>
      </w:pPr>
    </w:p>
    <w:p w14:paraId="0B6E3D60" w14:textId="68F06C76" w:rsidR="00485F73" w:rsidRPr="0003535B" w:rsidRDefault="00485F73" w:rsidP="00485F73">
      <w:pPr>
        <w:spacing w:before="360" w:after="0"/>
        <w:rPr>
          <w:b/>
          <w:bCs/>
          <w:color w:val="7030A0"/>
          <w:sz w:val="22"/>
        </w:rPr>
      </w:pPr>
      <w:r>
        <w:rPr>
          <w:b/>
          <w:bCs/>
          <w:color w:val="7030A0"/>
          <w:sz w:val="22"/>
        </w:rPr>
        <w:lastRenderedPageBreak/>
        <w:t>PROCESSUS D’APPROVISIONNEMENT NON CONCURRENTIEL</w:t>
      </w:r>
    </w:p>
    <w:tbl>
      <w:tblPr>
        <w:tblStyle w:val="TableGrid"/>
        <w:tblW w:w="18445" w:type="dxa"/>
        <w:tblLook w:val="04A0" w:firstRow="1" w:lastRow="0" w:firstColumn="1" w:lastColumn="0" w:noHBand="0" w:noVBand="1"/>
      </w:tblPr>
      <w:tblGrid>
        <w:gridCol w:w="3505"/>
        <w:gridCol w:w="10530"/>
        <w:gridCol w:w="4410"/>
      </w:tblGrid>
      <w:tr w:rsidR="00485F73" w14:paraId="6412A644" w14:textId="77777777" w:rsidTr="009C7436">
        <w:trPr>
          <w:trHeight w:val="367"/>
        </w:trPr>
        <w:tc>
          <w:tcPr>
            <w:tcW w:w="3505" w:type="dxa"/>
          </w:tcPr>
          <w:p w14:paraId="1F355216" w14:textId="77777777" w:rsidR="00485F73" w:rsidRDefault="00485F73" w:rsidP="002018CF">
            <w:pPr>
              <w:tabs>
                <w:tab w:val="left" w:pos="13060"/>
              </w:tabs>
              <w:spacing w:before="0" w:after="0" w:line="240" w:lineRule="auto"/>
              <w:jc w:val="center"/>
              <w:rPr>
                <w:b/>
                <w:bCs/>
                <w:color w:val="7030A0"/>
                <w:sz w:val="22"/>
              </w:rPr>
            </w:pPr>
            <w:r>
              <w:rPr>
                <w:b/>
                <w:bCs/>
                <w:sz w:val="22"/>
              </w:rPr>
              <w:t>Approche</w:t>
            </w:r>
          </w:p>
        </w:tc>
        <w:tc>
          <w:tcPr>
            <w:tcW w:w="10530" w:type="dxa"/>
          </w:tcPr>
          <w:p w14:paraId="5B9AE807" w14:textId="77777777" w:rsidR="00485F73" w:rsidRDefault="00485F73" w:rsidP="002018CF">
            <w:pPr>
              <w:tabs>
                <w:tab w:val="left" w:pos="13060"/>
              </w:tabs>
              <w:spacing w:before="0" w:after="0" w:line="240" w:lineRule="auto"/>
              <w:jc w:val="center"/>
              <w:rPr>
                <w:b/>
                <w:bCs/>
                <w:color w:val="7030A0"/>
                <w:sz w:val="22"/>
              </w:rPr>
            </w:pPr>
            <w:r>
              <w:rPr>
                <w:b/>
                <w:bCs/>
                <w:sz w:val="22"/>
              </w:rPr>
              <w:t>Stratégie</w:t>
            </w:r>
          </w:p>
        </w:tc>
        <w:tc>
          <w:tcPr>
            <w:tcW w:w="4410" w:type="dxa"/>
          </w:tcPr>
          <w:p w14:paraId="60C44186" w14:textId="77777777" w:rsidR="00485F73" w:rsidRDefault="00485F73" w:rsidP="002018CF">
            <w:pPr>
              <w:tabs>
                <w:tab w:val="left" w:pos="13060"/>
              </w:tabs>
              <w:spacing w:before="0" w:after="0" w:line="240" w:lineRule="auto"/>
              <w:jc w:val="center"/>
              <w:rPr>
                <w:b/>
                <w:bCs/>
                <w:color w:val="7030A0"/>
                <w:sz w:val="22"/>
              </w:rPr>
            </w:pPr>
            <w:r>
              <w:rPr>
                <w:b/>
                <w:bCs/>
                <w:sz w:val="22"/>
              </w:rPr>
              <w:t>Seuil</w:t>
            </w:r>
          </w:p>
        </w:tc>
      </w:tr>
      <w:tr w:rsidR="00485F73" w14:paraId="33071003" w14:textId="77777777" w:rsidTr="009C7436">
        <w:trPr>
          <w:trHeight w:val="647"/>
        </w:trPr>
        <w:tc>
          <w:tcPr>
            <w:tcW w:w="3505" w:type="dxa"/>
          </w:tcPr>
          <w:p w14:paraId="3A8170D2" w14:textId="77777777" w:rsidR="00485F73" w:rsidRPr="00701A2C" w:rsidRDefault="00485F73" w:rsidP="002018CF">
            <w:pPr>
              <w:tabs>
                <w:tab w:val="left" w:pos="13060"/>
              </w:tabs>
              <w:spacing w:before="0" w:after="0" w:line="240" w:lineRule="auto"/>
              <w:rPr>
                <w:b/>
                <w:bCs/>
                <w:color w:val="7030A0"/>
                <w:sz w:val="20"/>
                <w:szCs w:val="20"/>
              </w:rPr>
            </w:pPr>
            <w:r>
              <w:rPr>
                <w:sz w:val="20"/>
                <w:szCs w:val="20"/>
              </w:rPr>
              <w:t>Lorsque s’appliquent des dispositions de non-application ou d’appel d’offres limité</w:t>
            </w:r>
            <w:r>
              <w:rPr>
                <w:b/>
                <w:bCs/>
                <w:color w:val="7030A0"/>
                <w:sz w:val="20"/>
                <w:szCs w:val="20"/>
              </w:rPr>
              <w:t xml:space="preserve"> </w:t>
            </w:r>
          </w:p>
        </w:tc>
        <w:tc>
          <w:tcPr>
            <w:tcW w:w="10530" w:type="dxa"/>
            <w:tcBorders>
              <w:bottom w:val="single" w:sz="4" w:space="0" w:color="auto"/>
            </w:tcBorders>
          </w:tcPr>
          <w:p w14:paraId="12D1F445" w14:textId="77777777" w:rsidR="00485F73" w:rsidRPr="00701A2C" w:rsidRDefault="00485F73" w:rsidP="002018CF">
            <w:pPr>
              <w:tabs>
                <w:tab w:val="left" w:pos="13060"/>
              </w:tabs>
              <w:spacing w:before="0" w:after="0" w:line="240" w:lineRule="auto"/>
              <w:rPr>
                <w:b/>
                <w:bCs/>
                <w:color w:val="7030A0"/>
                <w:sz w:val="20"/>
                <w:szCs w:val="20"/>
              </w:rPr>
            </w:pPr>
            <w:r>
              <w:rPr>
                <w:sz w:val="20"/>
                <w:szCs w:val="20"/>
              </w:rPr>
              <w:t>Tirer parti des possibilités de non-application ou d’appel d’offres limité prévues dans les accords commerciaux pour privilégier, dans la mesure du possible, une entreprise ontarienne.</w:t>
            </w:r>
          </w:p>
        </w:tc>
        <w:tc>
          <w:tcPr>
            <w:tcW w:w="4410" w:type="dxa"/>
            <w:tcBorders>
              <w:bottom w:val="single" w:sz="4" w:space="0" w:color="auto"/>
            </w:tcBorders>
          </w:tcPr>
          <w:p w14:paraId="1B94B597" w14:textId="77777777" w:rsidR="00485F73" w:rsidRPr="00701A2C" w:rsidRDefault="00485F73" w:rsidP="002018CF">
            <w:pPr>
              <w:tabs>
                <w:tab w:val="left" w:pos="13060"/>
              </w:tabs>
              <w:spacing w:before="0" w:after="0" w:line="240" w:lineRule="auto"/>
              <w:rPr>
                <w:b/>
                <w:bCs/>
                <w:color w:val="7030A0"/>
                <w:sz w:val="20"/>
                <w:szCs w:val="20"/>
              </w:rPr>
            </w:pPr>
            <w:r>
              <w:rPr>
                <w:sz w:val="20"/>
                <w:szCs w:val="20"/>
              </w:rPr>
              <w:t>Voir l’accord commercial applicable.</w:t>
            </w:r>
          </w:p>
        </w:tc>
      </w:tr>
    </w:tbl>
    <w:p w14:paraId="042E84E5" w14:textId="0AF1CCA9" w:rsidR="005F12CE" w:rsidRPr="00517B6D" w:rsidRDefault="00517B6D" w:rsidP="006F3345">
      <w:pPr>
        <w:pStyle w:val="Heading2"/>
      </w:pPr>
      <w:bookmarkStart w:id="233" w:name="_Toc175666961"/>
      <w:r>
        <w:t>Annexe E : La stratégie de l’IDEO en un coup d’œil pour les acheteurs du secteur parapublic</w:t>
      </w:r>
      <w:bookmarkEnd w:id="233"/>
      <w:r>
        <w:t xml:space="preserve"> </w:t>
      </w:r>
    </w:p>
    <w:p w14:paraId="2F968E70" w14:textId="79D6AFB1" w:rsidR="006D6C15" w:rsidRDefault="006D6C15" w:rsidP="006F2521">
      <w:pPr>
        <w:tabs>
          <w:tab w:val="left" w:pos="13060"/>
        </w:tabs>
        <w:spacing w:after="240" w:line="240" w:lineRule="auto"/>
        <w:rPr>
          <w:b/>
          <w:bCs/>
          <w:color w:val="7030A0"/>
          <w:sz w:val="22"/>
        </w:rPr>
      </w:pPr>
      <w:r>
        <w:rPr>
          <w:b/>
          <w:bCs/>
          <w:color w:val="7030A0"/>
          <w:sz w:val="22"/>
        </w:rPr>
        <w:t>PROCESSUS D’APPROVISIONNEMENT PAR INVITATION À SOUMISSIONNER</w:t>
      </w:r>
    </w:p>
    <w:tbl>
      <w:tblPr>
        <w:tblStyle w:val="TableGrid"/>
        <w:tblW w:w="18431" w:type="dxa"/>
        <w:tblLook w:val="04A0" w:firstRow="1" w:lastRow="0" w:firstColumn="1" w:lastColumn="0" w:noHBand="0" w:noVBand="1"/>
      </w:tblPr>
      <w:tblGrid>
        <w:gridCol w:w="3499"/>
        <w:gridCol w:w="10526"/>
        <w:gridCol w:w="4406"/>
      </w:tblGrid>
      <w:tr w:rsidR="006D6C15" w14:paraId="785FB5F0" w14:textId="77777777" w:rsidTr="004A1491">
        <w:trPr>
          <w:trHeight w:val="405"/>
        </w:trPr>
        <w:tc>
          <w:tcPr>
            <w:tcW w:w="3499" w:type="dxa"/>
          </w:tcPr>
          <w:p w14:paraId="3DE33B60" w14:textId="77777777" w:rsidR="006D6C15" w:rsidRDefault="006D6C15" w:rsidP="002018CF">
            <w:pPr>
              <w:tabs>
                <w:tab w:val="left" w:pos="13060"/>
              </w:tabs>
              <w:spacing w:before="0" w:after="0" w:line="240" w:lineRule="auto"/>
              <w:jc w:val="center"/>
              <w:rPr>
                <w:b/>
                <w:bCs/>
                <w:color w:val="7030A0"/>
                <w:sz w:val="22"/>
              </w:rPr>
            </w:pPr>
            <w:r>
              <w:rPr>
                <w:b/>
                <w:bCs/>
                <w:sz w:val="22"/>
              </w:rPr>
              <w:t>Approche</w:t>
            </w:r>
          </w:p>
        </w:tc>
        <w:tc>
          <w:tcPr>
            <w:tcW w:w="10526" w:type="dxa"/>
          </w:tcPr>
          <w:p w14:paraId="51699FCD" w14:textId="77777777" w:rsidR="006D6C15" w:rsidRDefault="006D6C15" w:rsidP="002018CF">
            <w:pPr>
              <w:tabs>
                <w:tab w:val="left" w:pos="13060"/>
              </w:tabs>
              <w:spacing w:before="0" w:after="0" w:line="240" w:lineRule="auto"/>
              <w:jc w:val="center"/>
              <w:rPr>
                <w:b/>
                <w:bCs/>
                <w:color w:val="7030A0"/>
                <w:sz w:val="22"/>
              </w:rPr>
            </w:pPr>
            <w:r>
              <w:rPr>
                <w:b/>
                <w:bCs/>
                <w:sz w:val="22"/>
              </w:rPr>
              <w:t>Stratégie</w:t>
            </w:r>
          </w:p>
        </w:tc>
        <w:tc>
          <w:tcPr>
            <w:tcW w:w="4406" w:type="dxa"/>
          </w:tcPr>
          <w:p w14:paraId="5C2451B7" w14:textId="77777777" w:rsidR="006D6C15" w:rsidRDefault="006D6C15" w:rsidP="002018CF">
            <w:pPr>
              <w:tabs>
                <w:tab w:val="left" w:pos="13060"/>
              </w:tabs>
              <w:spacing w:before="0" w:after="0" w:line="240" w:lineRule="auto"/>
              <w:jc w:val="center"/>
              <w:rPr>
                <w:b/>
                <w:bCs/>
                <w:color w:val="7030A0"/>
                <w:sz w:val="22"/>
              </w:rPr>
            </w:pPr>
            <w:r>
              <w:rPr>
                <w:b/>
                <w:bCs/>
                <w:sz w:val="22"/>
              </w:rPr>
              <w:t>Seuil</w:t>
            </w:r>
            <w:r w:rsidRPr="005416ED">
              <w:rPr>
                <w:rStyle w:val="FootnoteReference"/>
                <w:b/>
                <w:bCs/>
                <w:sz w:val="22"/>
              </w:rPr>
              <w:footnoteReference w:id="7"/>
            </w:r>
          </w:p>
        </w:tc>
      </w:tr>
      <w:tr w:rsidR="00322C4E" w14:paraId="0AEF4808" w14:textId="77777777" w:rsidTr="004A1491">
        <w:trPr>
          <w:trHeight w:val="1094"/>
        </w:trPr>
        <w:tc>
          <w:tcPr>
            <w:tcW w:w="3499" w:type="dxa"/>
          </w:tcPr>
          <w:p w14:paraId="0AD3BDF0" w14:textId="77777777" w:rsidR="00322C4E" w:rsidRPr="001D0931" w:rsidRDefault="00322C4E" w:rsidP="00322C4E">
            <w:pPr>
              <w:tabs>
                <w:tab w:val="left" w:pos="13060"/>
              </w:tabs>
              <w:spacing w:before="0" w:after="0" w:line="240" w:lineRule="auto"/>
              <w:rPr>
                <w:b/>
                <w:bCs/>
                <w:color w:val="7030A0"/>
                <w:sz w:val="20"/>
                <w:szCs w:val="20"/>
              </w:rPr>
            </w:pPr>
            <w:r>
              <w:rPr>
                <w:sz w:val="20"/>
                <w:szCs w:val="20"/>
              </w:rPr>
              <w:t>En dessous des seuils des accords commerciaux nationaux</w:t>
            </w:r>
          </w:p>
        </w:tc>
        <w:tc>
          <w:tcPr>
            <w:tcW w:w="10526" w:type="dxa"/>
          </w:tcPr>
          <w:p w14:paraId="782A5C80" w14:textId="5056ECB7" w:rsidR="00322C4E" w:rsidRPr="001D0931" w:rsidRDefault="00322C4E" w:rsidP="00322C4E">
            <w:pPr>
              <w:tabs>
                <w:tab w:val="left" w:pos="13060"/>
              </w:tabs>
              <w:spacing w:before="0" w:after="0" w:line="240" w:lineRule="auto"/>
              <w:rPr>
                <w:b/>
                <w:bCs/>
                <w:color w:val="7030A0"/>
                <w:sz w:val="20"/>
                <w:szCs w:val="20"/>
              </w:rPr>
            </w:pPr>
            <w:r>
              <w:rPr>
                <w:sz w:val="20"/>
                <w:szCs w:val="20"/>
              </w:rPr>
              <w:t xml:space="preserve">Les organismes publics doivent privilégier les entreprises ontariennes. Dans la mesure du possible, l’acheteur ne devrait inviter que des entreprises ontariennes. Si ce n’est pas possible, accorder un avantage d’évaluation de 10 % aux entreprises ontariennes soumissionnaires. </w:t>
            </w:r>
          </w:p>
        </w:tc>
        <w:tc>
          <w:tcPr>
            <w:tcW w:w="4406" w:type="dxa"/>
          </w:tcPr>
          <w:p w14:paraId="3DE2F20E" w14:textId="52EDF0D2" w:rsidR="001D0931" w:rsidRPr="001D0931" w:rsidRDefault="00FC1A30" w:rsidP="001D0931">
            <w:pPr>
              <w:spacing w:before="0" w:after="0" w:line="240" w:lineRule="auto"/>
              <w:rPr>
                <w:sz w:val="20"/>
                <w:szCs w:val="20"/>
              </w:rPr>
            </w:pPr>
            <w:r>
              <w:rPr>
                <w:sz w:val="20"/>
                <w:szCs w:val="20"/>
              </w:rPr>
              <w:t>Biens</w:t>
            </w:r>
            <w:r w:rsidR="001D0931">
              <w:rPr>
                <w:sz w:val="20"/>
                <w:szCs w:val="20"/>
              </w:rPr>
              <w:t xml:space="preserve"> et services – moins de 121 200 $</w:t>
            </w:r>
          </w:p>
          <w:p w14:paraId="32A8A5D9" w14:textId="5AD87A91" w:rsidR="00322C4E" w:rsidRPr="001D0931" w:rsidRDefault="00322C4E" w:rsidP="00322C4E">
            <w:pPr>
              <w:tabs>
                <w:tab w:val="left" w:pos="13060"/>
              </w:tabs>
              <w:spacing w:before="0" w:after="0" w:line="240" w:lineRule="auto"/>
              <w:jc w:val="center"/>
              <w:rPr>
                <w:b/>
                <w:bCs/>
                <w:color w:val="7030A0"/>
                <w:sz w:val="20"/>
                <w:szCs w:val="20"/>
              </w:rPr>
            </w:pPr>
          </w:p>
        </w:tc>
      </w:tr>
    </w:tbl>
    <w:p w14:paraId="307D6181" w14:textId="77777777" w:rsidR="005F7F79" w:rsidRDefault="005F7F79" w:rsidP="005F7F79">
      <w:pPr>
        <w:spacing w:before="360" w:after="0"/>
        <w:rPr>
          <w:b/>
          <w:bCs/>
          <w:color w:val="7030A0"/>
          <w:sz w:val="22"/>
        </w:rPr>
      </w:pPr>
      <w:r>
        <w:rPr>
          <w:b/>
          <w:bCs/>
          <w:color w:val="7030A0"/>
          <w:sz w:val="22"/>
        </w:rPr>
        <w:t>APPROVISIONNEMENT PAR APPEL D’OFFRES CONCURRENTIEL OUVERT</w:t>
      </w:r>
    </w:p>
    <w:tbl>
      <w:tblPr>
        <w:tblStyle w:val="TableGrid"/>
        <w:tblW w:w="18431" w:type="dxa"/>
        <w:tblLook w:val="04A0" w:firstRow="1" w:lastRow="0" w:firstColumn="1" w:lastColumn="0" w:noHBand="0" w:noVBand="1"/>
      </w:tblPr>
      <w:tblGrid>
        <w:gridCol w:w="3499"/>
        <w:gridCol w:w="10526"/>
        <w:gridCol w:w="4406"/>
      </w:tblGrid>
      <w:tr w:rsidR="005F7F79" w14:paraId="6B34049A" w14:textId="77777777" w:rsidTr="00BB0C88">
        <w:trPr>
          <w:trHeight w:val="405"/>
        </w:trPr>
        <w:tc>
          <w:tcPr>
            <w:tcW w:w="3499" w:type="dxa"/>
          </w:tcPr>
          <w:p w14:paraId="55124D95" w14:textId="77777777" w:rsidR="005F7F79" w:rsidRDefault="005F7F79" w:rsidP="002018CF">
            <w:pPr>
              <w:tabs>
                <w:tab w:val="left" w:pos="13060"/>
              </w:tabs>
              <w:spacing w:before="0" w:after="0" w:line="240" w:lineRule="auto"/>
              <w:jc w:val="center"/>
              <w:rPr>
                <w:b/>
                <w:bCs/>
                <w:color w:val="7030A0"/>
                <w:sz w:val="22"/>
              </w:rPr>
            </w:pPr>
            <w:r>
              <w:rPr>
                <w:b/>
                <w:bCs/>
                <w:sz w:val="22"/>
              </w:rPr>
              <w:t>Approche</w:t>
            </w:r>
          </w:p>
        </w:tc>
        <w:tc>
          <w:tcPr>
            <w:tcW w:w="10526" w:type="dxa"/>
          </w:tcPr>
          <w:p w14:paraId="3A371E0D" w14:textId="77777777" w:rsidR="005F7F79" w:rsidRDefault="005F7F79" w:rsidP="002018CF">
            <w:pPr>
              <w:tabs>
                <w:tab w:val="left" w:pos="13060"/>
              </w:tabs>
              <w:spacing w:before="0" w:after="0" w:line="240" w:lineRule="auto"/>
              <w:jc w:val="center"/>
              <w:rPr>
                <w:b/>
                <w:bCs/>
                <w:color w:val="7030A0"/>
                <w:sz w:val="22"/>
              </w:rPr>
            </w:pPr>
            <w:r>
              <w:rPr>
                <w:b/>
                <w:bCs/>
                <w:sz w:val="22"/>
              </w:rPr>
              <w:t>Stratégie</w:t>
            </w:r>
          </w:p>
        </w:tc>
        <w:tc>
          <w:tcPr>
            <w:tcW w:w="4406" w:type="dxa"/>
          </w:tcPr>
          <w:p w14:paraId="6F88B927" w14:textId="77777777" w:rsidR="005F7F79" w:rsidRDefault="005F7F79" w:rsidP="002018CF">
            <w:pPr>
              <w:tabs>
                <w:tab w:val="left" w:pos="13060"/>
              </w:tabs>
              <w:spacing w:before="0" w:after="0" w:line="240" w:lineRule="auto"/>
              <w:jc w:val="center"/>
              <w:rPr>
                <w:b/>
                <w:bCs/>
                <w:color w:val="7030A0"/>
                <w:sz w:val="22"/>
              </w:rPr>
            </w:pPr>
            <w:r>
              <w:rPr>
                <w:b/>
                <w:bCs/>
                <w:sz w:val="22"/>
              </w:rPr>
              <w:t>Seuil</w:t>
            </w:r>
          </w:p>
        </w:tc>
      </w:tr>
      <w:tr w:rsidR="005F7F79" w14:paraId="05C184EB" w14:textId="77777777" w:rsidTr="00BB0C88">
        <w:tc>
          <w:tcPr>
            <w:tcW w:w="3499" w:type="dxa"/>
          </w:tcPr>
          <w:p w14:paraId="45A17677" w14:textId="6885C775" w:rsidR="005F7F79" w:rsidRPr="00FD624C" w:rsidRDefault="00C5692C" w:rsidP="002018CF">
            <w:pPr>
              <w:tabs>
                <w:tab w:val="left" w:pos="13060"/>
              </w:tabs>
              <w:spacing w:before="0" w:after="0" w:line="240" w:lineRule="auto"/>
              <w:rPr>
                <w:b/>
                <w:bCs/>
                <w:color w:val="7030A0"/>
                <w:sz w:val="20"/>
                <w:szCs w:val="20"/>
              </w:rPr>
            </w:pPr>
            <w:r>
              <w:rPr>
                <w:sz w:val="20"/>
                <w:szCs w:val="20"/>
              </w:rPr>
              <w:t>En dessous des seuils des accords commerciaux internationaux, mais au-dessus des seuils des accords commerciaux nationaux</w:t>
            </w:r>
          </w:p>
        </w:tc>
        <w:tc>
          <w:tcPr>
            <w:tcW w:w="10526" w:type="dxa"/>
            <w:tcBorders>
              <w:bottom w:val="single" w:sz="4" w:space="0" w:color="auto"/>
            </w:tcBorders>
          </w:tcPr>
          <w:p w14:paraId="5E4A8A12" w14:textId="18784C59" w:rsidR="005F7F79" w:rsidRPr="00FD624C" w:rsidRDefault="000779FC" w:rsidP="002018CF">
            <w:pPr>
              <w:tabs>
                <w:tab w:val="left" w:pos="13060"/>
              </w:tabs>
              <w:spacing w:before="0" w:after="0" w:line="240" w:lineRule="auto"/>
              <w:rPr>
                <w:b/>
                <w:bCs/>
                <w:color w:val="7030A0"/>
                <w:sz w:val="20"/>
                <w:szCs w:val="20"/>
              </w:rPr>
            </w:pPr>
            <w:r>
              <w:rPr>
                <w:sz w:val="20"/>
                <w:szCs w:val="20"/>
              </w:rPr>
              <w:t>Les organismes publics doivent privilégier les entreprises canadiennes. Dans la mesure du possible, limiter le droit de répondre à l’appel d’offres aux entreprises canadiennes et, si ce n’est pas possible, accorder un avantage de 10 % aux entreprises canadiennes soumissionnaires lors de l’évaluation.</w:t>
            </w:r>
          </w:p>
        </w:tc>
        <w:tc>
          <w:tcPr>
            <w:tcW w:w="4406" w:type="dxa"/>
            <w:tcBorders>
              <w:bottom w:val="single" w:sz="4" w:space="0" w:color="auto"/>
            </w:tcBorders>
          </w:tcPr>
          <w:p w14:paraId="47F10E61" w14:textId="785AA98D" w:rsidR="005F7F79" w:rsidRPr="00FD624C" w:rsidRDefault="00375DFA" w:rsidP="002018CF">
            <w:pPr>
              <w:tabs>
                <w:tab w:val="left" w:pos="13060"/>
              </w:tabs>
              <w:spacing w:before="0" w:after="0" w:line="240" w:lineRule="auto"/>
              <w:rPr>
                <w:b/>
                <w:bCs/>
                <w:color w:val="7030A0"/>
                <w:sz w:val="20"/>
                <w:szCs w:val="20"/>
              </w:rPr>
            </w:pPr>
            <w:r>
              <w:rPr>
                <w:sz w:val="20"/>
                <w:szCs w:val="20"/>
              </w:rPr>
              <w:t>Biens et services – de 121 200 à 353 300 $</w:t>
            </w:r>
          </w:p>
        </w:tc>
      </w:tr>
      <w:tr w:rsidR="005F7F79" w14:paraId="43625180" w14:textId="77777777" w:rsidTr="00BB0C88">
        <w:tc>
          <w:tcPr>
            <w:tcW w:w="3499" w:type="dxa"/>
            <w:vMerge w:val="restart"/>
            <w:tcBorders>
              <w:top w:val="single" w:sz="4" w:space="0" w:color="auto"/>
              <w:left w:val="single" w:sz="4" w:space="0" w:color="auto"/>
              <w:right w:val="single" w:sz="4" w:space="0" w:color="auto"/>
            </w:tcBorders>
          </w:tcPr>
          <w:p w14:paraId="6C14F180" w14:textId="2AD61E00" w:rsidR="005F7F79" w:rsidRPr="00FD624C" w:rsidRDefault="00D8300D" w:rsidP="002018CF">
            <w:pPr>
              <w:tabs>
                <w:tab w:val="left" w:pos="13060"/>
              </w:tabs>
              <w:spacing w:before="0" w:after="0" w:line="240" w:lineRule="auto"/>
              <w:rPr>
                <w:b/>
                <w:bCs/>
                <w:color w:val="7030A0"/>
                <w:sz w:val="20"/>
                <w:szCs w:val="20"/>
              </w:rPr>
            </w:pPr>
            <w:r>
              <w:rPr>
                <w:sz w:val="20"/>
                <w:szCs w:val="20"/>
              </w:rPr>
              <w:t>Au-dessus des seuils des accords internationaux</w:t>
            </w:r>
          </w:p>
        </w:tc>
        <w:tc>
          <w:tcPr>
            <w:tcW w:w="10526" w:type="dxa"/>
            <w:tcBorders>
              <w:top w:val="single" w:sz="4" w:space="0" w:color="auto"/>
              <w:left w:val="single" w:sz="4" w:space="0" w:color="auto"/>
              <w:bottom w:val="single" w:sz="4" w:space="0" w:color="auto"/>
              <w:right w:val="single" w:sz="4" w:space="0" w:color="auto"/>
            </w:tcBorders>
          </w:tcPr>
          <w:p w14:paraId="7A81BC4C" w14:textId="3CF6F060" w:rsidR="005F7F79" w:rsidRPr="00FD624C" w:rsidRDefault="0008739E" w:rsidP="002018CF">
            <w:pPr>
              <w:tabs>
                <w:tab w:val="left" w:pos="13060"/>
              </w:tabs>
              <w:spacing w:before="0" w:after="0" w:line="240" w:lineRule="auto"/>
              <w:rPr>
                <w:b/>
                <w:bCs/>
                <w:color w:val="7030A0"/>
                <w:sz w:val="20"/>
                <w:szCs w:val="20"/>
              </w:rPr>
            </w:pPr>
            <w:r>
              <w:rPr>
                <w:sz w:val="20"/>
                <w:szCs w:val="20"/>
              </w:rPr>
              <w:t>Les entités gouvernementales doivent privilégier les entreprises des partenaires commerciaux de l’Ontario.</w:t>
            </w:r>
          </w:p>
        </w:tc>
        <w:tc>
          <w:tcPr>
            <w:tcW w:w="4406" w:type="dxa"/>
            <w:tcBorders>
              <w:top w:val="single" w:sz="4" w:space="0" w:color="auto"/>
              <w:left w:val="single" w:sz="4" w:space="0" w:color="auto"/>
              <w:bottom w:val="single" w:sz="4" w:space="0" w:color="auto"/>
              <w:right w:val="single" w:sz="4" w:space="0" w:color="auto"/>
            </w:tcBorders>
          </w:tcPr>
          <w:p w14:paraId="4EC70046" w14:textId="2A99CA25" w:rsidR="005F7F79" w:rsidRPr="00FD624C" w:rsidRDefault="001B5561" w:rsidP="002018CF">
            <w:pPr>
              <w:tabs>
                <w:tab w:val="left" w:pos="13060"/>
              </w:tabs>
              <w:spacing w:before="0" w:after="0" w:line="240" w:lineRule="auto"/>
              <w:rPr>
                <w:b/>
                <w:bCs/>
                <w:color w:val="7030A0"/>
                <w:sz w:val="20"/>
                <w:szCs w:val="20"/>
              </w:rPr>
            </w:pPr>
            <w:r>
              <w:rPr>
                <w:sz w:val="20"/>
                <w:szCs w:val="20"/>
              </w:rPr>
              <w:t>Biens et services – de 121 200 à 353 300 $</w:t>
            </w:r>
          </w:p>
        </w:tc>
      </w:tr>
      <w:tr w:rsidR="005F7F79" w14:paraId="06A14C17" w14:textId="77777777" w:rsidTr="00BB0C88">
        <w:tc>
          <w:tcPr>
            <w:tcW w:w="3499" w:type="dxa"/>
            <w:vMerge/>
            <w:tcBorders>
              <w:left w:val="single" w:sz="4" w:space="0" w:color="auto"/>
              <w:right w:val="single" w:sz="4" w:space="0" w:color="auto"/>
            </w:tcBorders>
          </w:tcPr>
          <w:p w14:paraId="2DDD6DB3" w14:textId="77777777" w:rsidR="005F7F79" w:rsidRPr="00FD624C" w:rsidRDefault="005F7F79" w:rsidP="002018CF">
            <w:pPr>
              <w:tabs>
                <w:tab w:val="left" w:pos="13060"/>
              </w:tabs>
              <w:spacing w:before="0" w:after="0" w:line="240" w:lineRule="auto"/>
              <w:rPr>
                <w:sz w:val="20"/>
                <w:szCs w:val="20"/>
              </w:rPr>
            </w:pPr>
          </w:p>
        </w:tc>
        <w:tc>
          <w:tcPr>
            <w:tcW w:w="10526" w:type="dxa"/>
            <w:tcBorders>
              <w:top w:val="single" w:sz="4" w:space="0" w:color="auto"/>
              <w:left w:val="single" w:sz="4" w:space="0" w:color="auto"/>
              <w:bottom w:val="single" w:sz="4" w:space="0" w:color="auto"/>
              <w:right w:val="single" w:sz="4" w:space="0" w:color="auto"/>
            </w:tcBorders>
          </w:tcPr>
          <w:p w14:paraId="22C62978" w14:textId="277AA035" w:rsidR="005F7F79" w:rsidRPr="00FD624C" w:rsidRDefault="00DA1005" w:rsidP="002018CF">
            <w:pPr>
              <w:tabs>
                <w:tab w:val="left" w:pos="13060"/>
              </w:tabs>
              <w:spacing w:before="0" w:after="0" w:line="240" w:lineRule="auto"/>
              <w:rPr>
                <w:b/>
                <w:bCs/>
                <w:color w:val="7030A0"/>
                <w:sz w:val="20"/>
                <w:szCs w:val="20"/>
              </w:rPr>
            </w:pPr>
            <w:r>
              <w:rPr>
                <w:sz w:val="20"/>
                <w:szCs w:val="20"/>
              </w:rPr>
              <w:t>Appliquer des critères nationaux pondérés dans les évaluations d’approvisionnement</w:t>
            </w:r>
          </w:p>
        </w:tc>
        <w:tc>
          <w:tcPr>
            <w:tcW w:w="4406" w:type="dxa"/>
            <w:tcBorders>
              <w:top w:val="single" w:sz="4" w:space="0" w:color="auto"/>
              <w:left w:val="single" w:sz="4" w:space="0" w:color="auto"/>
              <w:bottom w:val="single" w:sz="4" w:space="0" w:color="auto"/>
              <w:right w:val="single" w:sz="4" w:space="0" w:color="auto"/>
            </w:tcBorders>
          </w:tcPr>
          <w:p w14:paraId="151BAA29" w14:textId="77777777" w:rsidR="00550085" w:rsidRPr="00FD624C" w:rsidRDefault="00550085" w:rsidP="00550085">
            <w:pPr>
              <w:spacing w:before="0" w:after="0" w:line="240" w:lineRule="auto"/>
              <w:rPr>
                <w:sz w:val="20"/>
                <w:szCs w:val="20"/>
              </w:rPr>
            </w:pPr>
            <w:r>
              <w:rPr>
                <w:sz w:val="20"/>
                <w:szCs w:val="20"/>
              </w:rPr>
              <w:t xml:space="preserve">Biens et services – plus de 353 300 $ </w:t>
            </w:r>
          </w:p>
          <w:p w14:paraId="3979899E" w14:textId="77777777" w:rsidR="005F7F79" w:rsidRPr="00FD624C" w:rsidRDefault="005F7F79" w:rsidP="002018CF">
            <w:pPr>
              <w:tabs>
                <w:tab w:val="left" w:pos="13060"/>
              </w:tabs>
              <w:spacing w:before="0" w:after="0" w:line="240" w:lineRule="auto"/>
              <w:rPr>
                <w:b/>
                <w:bCs/>
                <w:color w:val="7030A0"/>
                <w:sz w:val="20"/>
                <w:szCs w:val="20"/>
              </w:rPr>
            </w:pPr>
          </w:p>
        </w:tc>
      </w:tr>
      <w:tr w:rsidR="005F7F79" w14:paraId="409148A2" w14:textId="77777777" w:rsidTr="00BB0C88">
        <w:tc>
          <w:tcPr>
            <w:tcW w:w="3499" w:type="dxa"/>
            <w:vMerge/>
            <w:tcBorders>
              <w:left w:val="single" w:sz="4" w:space="0" w:color="auto"/>
              <w:right w:val="single" w:sz="4" w:space="0" w:color="auto"/>
            </w:tcBorders>
          </w:tcPr>
          <w:p w14:paraId="74F0D216" w14:textId="77777777" w:rsidR="005F7F79" w:rsidRPr="00FD624C" w:rsidRDefault="005F7F79" w:rsidP="002018CF">
            <w:pPr>
              <w:tabs>
                <w:tab w:val="left" w:pos="13060"/>
              </w:tabs>
              <w:spacing w:before="0" w:after="0" w:line="240" w:lineRule="auto"/>
              <w:rPr>
                <w:sz w:val="20"/>
                <w:szCs w:val="20"/>
              </w:rPr>
            </w:pPr>
          </w:p>
        </w:tc>
        <w:tc>
          <w:tcPr>
            <w:tcW w:w="10526" w:type="dxa"/>
            <w:tcBorders>
              <w:top w:val="single" w:sz="4" w:space="0" w:color="auto"/>
              <w:left w:val="single" w:sz="4" w:space="0" w:color="auto"/>
              <w:right w:val="single" w:sz="4" w:space="0" w:color="auto"/>
            </w:tcBorders>
          </w:tcPr>
          <w:p w14:paraId="55B89DFC" w14:textId="2326DDB9" w:rsidR="005F7F79" w:rsidRPr="00FD624C" w:rsidRDefault="00CF7C7A" w:rsidP="002018CF">
            <w:pPr>
              <w:tabs>
                <w:tab w:val="left" w:pos="13060"/>
              </w:tabs>
              <w:spacing w:before="0" w:after="0" w:line="240" w:lineRule="auto"/>
              <w:rPr>
                <w:b/>
                <w:bCs/>
                <w:color w:val="7030A0"/>
                <w:sz w:val="20"/>
                <w:szCs w:val="20"/>
              </w:rPr>
            </w:pPr>
            <w:r>
              <w:rPr>
                <w:sz w:val="20"/>
                <w:szCs w:val="20"/>
              </w:rPr>
              <w:t>Pour les contrats d’approvisionnement d’une valeur estimative de 50 millions de dollars ou plus dans certains secteurs, il faut inclure une obligation de retombées industrielles, régionales et technologiques (les « IRTB ») pour les fournisseurs.</w:t>
            </w:r>
          </w:p>
        </w:tc>
        <w:tc>
          <w:tcPr>
            <w:tcW w:w="4406" w:type="dxa"/>
            <w:tcBorders>
              <w:top w:val="single" w:sz="4" w:space="0" w:color="auto"/>
              <w:left w:val="single" w:sz="4" w:space="0" w:color="auto"/>
              <w:bottom w:val="single" w:sz="4" w:space="0" w:color="auto"/>
              <w:right w:val="single" w:sz="4" w:space="0" w:color="auto"/>
            </w:tcBorders>
          </w:tcPr>
          <w:p w14:paraId="2691C076" w14:textId="33D8A1FA" w:rsidR="005F7F79" w:rsidRPr="00FD624C" w:rsidRDefault="00FD624C" w:rsidP="002018CF">
            <w:pPr>
              <w:tabs>
                <w:tab w:val="left" w:pos="13060"/>
              </w:tabs>
              <w:spacing w:before="0" w:after="0" w:line="240" w:lineRule="auto"/>
              <w:rPr>
                <w:b/>
                <w:bCs/>
                <w:color w:val="7030A0"/>
                <w:sz w:val="20"/>
                <w:szCs w:val="20"/>
              </w:rPr>
            </w:pPr>
            <w:r>
              <w:rPr>
                <w:sz w:val="20"/>
                <w:szCs w:val="20"/>
              </w:rPr>
              <w:t>50 M$ ou plus</w:t>
            </w:r>
          </w:p>
        </w:tc>
      </w:tr>
    </w:tbl>
    <w:p w14:paraId="3DD7481E" w14:textId="77777777" w:rsidR="002D13E4" w:rsidRDefault="002D13E4" w:rsidP="00792D80">
      <w:pPr>
        <w:spacing w:before="360" w:after="0"/>
        <w:rPr>
          <w:b/>
          <w:bCs/>
          <w:color w:val="7030A0"/>
          <w:sz w:val="22"/>
        </w:rPr>
      </w:pPr>
    </w:p>
    <w:p w14:paraId="57D401AF" w14:textId="771A0FA6" w:rsidR="00792D80" w:rsidRPr="0003535B" w:rsidRDefault="00792D80" w:rsidP="00792D80">
      <w:pPr>
        <w:spacing w:before="360" w:after="0"/>
        <w:rPr>
          <w:b/>
          <w:bCs/>
          <w:color w:val="7030A0"/>
          <w:sz w:val="22"/>
        </w:rPr>
      </w:pPr>
      <w:r>
        <w:rPr>
          <w:b/>
          <w:bCs/>
          <w:color w:val="7030A0"/>
          <w:sz w:val="22"/>
        </w:rPr>
        <w:lastRenderedPageBreak/>
        <w:t>PROCESSUS D’APPROVISIONNEMENT NON CONCURRENTIEL</w:t>
      </w:r>
    </w:p>
    <w:tbl>
      <w:tblPr>
        <w:tblStyle w:val="TableGrid"/>
        <w:tblW w:w="18431" w:type="dxa"/>
        <w:tblLook w:val="04A0" w:firstRow="1" w:lastRow="0" w:firstColumn="1" w:lastColumn="0" w:noHBand="0" w:noVBand="1"/>
      </w:tblPr>
      <w:tblGrid>
        <w:gridCol w:w="3499"/>
        <w:gridCol w:w="10526"/>
        <w:gridCol w:w="4406"/>
      </w:tblGrid>
      <w:tr w:rsidR="008725D3" w14:paraId="39A06068" w14:textId="77777777" w:rsidTr="00FB0A4B">
        <w:trPr>
          <w:trHeight w:val="405"/>
        </w:trPr>
        <w:tc>
          <w:tcPr>
            <w:tcW w:w="3499" w:type="dxa"/>
          </w:tcPr>
          <w:p w14:paraId="0DBF187E" w14:textId="77777777" w:rsidR="008725D3" w:rsidRDefault="008725D3" w:rsidP="002018CF">
            <w:pPr>
              <w:tabs>
                <w:tab w:val="left" w:pos="13060"/>
              </w:tabs>
              <w:spacing w:before="0" w:after="0" w:line="240" w:lineRule="auto"/>
              <w:jc w:val="center"/>
              <w:rPr>
                <w:b/>
                <w:bCs/>
                <w:color w:val="7030A0"/>
                <w:sz w:val="22"/>
              </w:rPr>
            </w:pPr>
            <w:r>
              <w:rPr>
                <w:b/>
                <w:bCs/>
                <w:sz w:val="22"/>
              </w:rPr>
              <w:t>Approche</w:t>
            </w:r>
          </w:p>
        </w:tc>
        <w:tc>
          <w:tcPr>
            <w:tcW w:w="10526" w:type="dxa"/>
          </w:tcPr>
          <w:p w14:paraId="771B5138" w14:textId="77777777" w:rsidR="008725D3" w:rsidRDefault="008725D3" w:rsidP="002018CF">
            <w:pPr>
              <w:tabs>
                <w:tab w:val="left" w:pos="13060"/>
              </w:tabs>
              <w:spacing w:before="0" w:after="0" w:line="240" w:lineRule="auto"/>
              <w:jc w:val="center"/>
              <w:rPr>
                <w:b/>
                <w:bCs/>
                <w:color w:val="7030A0"/>
                <w:sz w:val="22"/>
              </w:rPr>
            </w:pPr>
            <w:r>
              <w:rPr>
                <w:b/>
                <w:bCs/>
                <w:sz w:val="22"/>
              </w:rPr>
              <w:t>Stratégie</w:t>
            </w:r>
          </w:p>
        </w:tc>
        <w:tc>
          <w:tcPr>
            <w:tcW w:w="4406" w:type="dxa"/>
          </w:tcPr>
          <w:p w14:paraId="6E07BB11" w14:textId="77777777" w:rsidR="008725D3" w:rsidRDefault="008725D3" w:rsidP="002018CF">
            <w:pPr>
              <w:tabs>
                <w:tab w:val="left" w:pos="13060"/>
              </w:tabs>
              <w:spacing w:before="0" w:after="0" w:line="240" w:lineRule="auto"/>
              <w:jc w:val="center"/>
              <w:rPr>
                <w:b/>
                <w:bCs/>
                <w:color w:val="7030A0"/>
                <w:sz w:val="22"/>
              </w:rPr>
            </w:pPr>
            <w:r>
              <w:rPr>
                <w:b/>
                <w:bCs/>
                <w:sz w:val="22"/>
              </w:rPr>
              <w:t>Seuil</w:t>
            </w:r>
          </w:p>
        </w:tc>
      </w:tr>
      <w:tr w:rsidR="00701A2C" w14:paraId="454D0ABA" w14:textId="77777777" w:rsidTr="00FB0A4B">
        <w:tc>
          <w:tcPr>
            <w:tcW w:w="3499" w:type="dxa"/>
          </w:tcPr>
          <w:p w14:paraId="589F388B" w14:textId="7BF291D9" w:rsidR="00701A2C" w:rsidRPr="00701A2C" w:rsidRDefault="00701A2C" w:rsidP="00701A2C">
            <w:pPr>
              <w:tabs>
                <w:tab w:val="left" w:pos="13060"/>
              </w:tabs>
              <w:spacing w:before="0" w:after="0" w:line="240" w:lineRule="auto"/>
              <w:rPr>
                <w:b/>
                <w:bCs/>
                <w:color w:val="7030A0"/>
                <w:sz w:val="20"/>
                <w:szCs w:val="20"/>
              </w:rPr>
            </w:pPr>
            <w:r>
              <w:rPr>
                <w:sz w:val="20"/>
                <w:szCs w:val="20"/>
              </w:rPr>
              <w:t>Lorsque s’appliquent des dispositions de non-application ou d’appel d’offres limité</w:t>
            </w:r>
            <w:r>
              <w:rPr>
                <w:b/>
                <w:bCs/>
                <w:color w:val="7030A0"/>
                <w:sz w:val="20"/>
                <w:szCs w:val="20"/>
              </w:rPr>
              <w:t xml:space="preserve"> </w:t>
            </w:r>
          </w:p>
        </w:tc>
        <w:tc>
          <w:tcPr>
            <w:tcW w:w="10526" w:type="dxa"/>
            <w:tcBorders>
              <w:bottom w:val="single" w:sz="4" w:space="0" w:color="auto"/>
            </w:tcBorders>
          </w:tcPr>
          <w:p w14:paraId="6F490043" w14:textId="3D3C1CB6" w:rsidR="00701A2C" w:rsidRPr="00701A2C" w:rsidRDefault="00701A2C" w:rsidP="00701A2C">
            <w:pPr>
              <w:tabs>
                <w:tab w:val="left" w:pos="13060"/>
              </w:tabs>
              <w:spacing w:before="0" w:after="0" w:line="240" w:lineRule="auto"/>
              <w:rPr>
                <w:b/>
                <w:bCs/>
                <w:color w:val="7030A0"/>
                <w:sz w:val="20"/>
                <w:szCs w:val="20"/>
              </w:rPr>
            </w:pPr>
            <w:r>
              <w:rPr>
                <w:sz w:val="20"/>
                <w:szCs w:val="20"/>
              </w:rPr>
              <w:t>Tirer parti des possibilités de non-application ou d’appel d’offres limité prévues dans les accords commerciaux pour privilégier, dans la mesure du possible, une entreprise ontarienne.</w:t>
            </w:r>
          </w:p>
        </w:tc>
        <w:tc>
          <w:tcPr>
            <w:tcW w:w="4406" w:type="dxa"/>
            <w:tcBorders>
              <w:bottom w:val="single" w:sz="4" w:space="0" w:color="auto"/>
            </w:tcBorders>
          </w:tcPr>
          <w:p w14:paraId="23BA8355" w14:textId="05F101BD" w:rsidR="00701A2C" w:rsidRPr="00701A2C" w:rsidRDefault="00701A2C" w:rsidP="00701A2C">
            <w:pPr>
              <w:tabs>
                <w:tab w:val="left" w:pos="13060"/>
              </w:tabs>
              <w:spacing w:before="0" w:after="0" w:line="240" w:lineRule="auto"/>
              <w:rPr>
                <w:b/>
                <w:bCs/>
                <w:color w:val="7030A0"/>
                <w:sz w:val="20"/>
                <w:szCs w:val="20"/>
              </w:rPr>
            </w:pPr>
            <w:r>
              <w:rPr>
                <w:sz w:val="20"/>
                <w:szCs w:val="20"/>
              </w:rPr>
              <w:t>Voir l’accord commercial applicable.</w:t>
            </w:r>
          </w:p>
        </w:tc>
      </w:tr>
    </w:tbl>
    <w:p w14:paraId="1EFD81A6" w14:textId="77777777" w:rsidR="009F647A" w:rsidRDefault="009F647A" w:rsidP="006F3345">
      <w:pPr>
        <w:pStyle w:val="Heading2"/>
      </w:pPr>
    </w:p>
    <w:p w14:paraId="415AE8B3" w14:textId="77777777" w:rsidR="00DC7DCF" w:rsidRDefault="00DC7DCF">
      <w:pPr>
        <w:spacing w:before="0" w:line="259" w:lineRule="auto"/>
        <w:sectPr w:rsidR="00DC7DCF" w:rsidSect="00A95E30">
          <w:pgSz w:w="20160" w:h="12240" w:orient="landscape" w:code="5"/>
          <w:pgMar w:top="-720" w:right="720" w:bottom="720" w:left="720" w:header="308" w:footer="0" w:gutter="0"/>
          <w:cols w:space="708"/>
          <w:titlePg/>
          <w:docGrid w:linePitch="360"/>
        </w:sectPr>
      </w:pPr>
    </w:p>
    <w:p w14:paraId="722F1C8A" w14:textId="7BB39B14" w:rsidR="00E37F3E" w:rsidRDefault="009F647A" w:rsidP="006F3345">
      <w:pPr>
        <w:pStyle w:val="Heading2"/>
      </w:pPr>
      <w:bookmarkStart w:id="234" w:name="_Toc175666962"/>
      <w:r>
        <w:lastRenderedPageBreak/>
        <w:t>Annexe F : seuils des accords commerciaux</w:t>
      </w:r>
      <w:bookmarkEnd w:id="234"/>
    </w:p>
    <w:p w14:paraId="16E68A51" w14:textId="77777777" w:rsidR="00253986" w:rsidRPr="00253986" w:rsidRDefault="00253986" w:rsidP="00253986">
      <w:r>
        <w:rPr>
          <w:b/>
          <w:bCs/>
        </w:rPr>
        <w:t>Accord de libre-échange canadien (ALEC)</w:t>
      </w:r>
    </w:p>
    <w:tbl>
      <w:tblPr>
        <w:tblStyle w:val="GridTable4-Accent1"/>
        <w:tblW w:w="0" w:type="auto"/>
        <w:tblLook w:val="0420" w:firstRow="1" w:lastRow="0" w:firstColumn="0" w:lastColumn="0" w:noHBand="0" w:noVBand="1"/>
        <w:tblCaption w:val="Table 3: Trade agreement thresholds"/>
        <w:tblDescription w:val="Trade agreement thresholds are as follows for approach 2"/>
      </w:tblPr>
      <w:tblGrid>
        <w:gridCol w:w="2665"/>
        <w:gridCol w:w="2040"/>
        <w:gridCol w:w="2325"/>
        <w:gridCol w:w="2320"/>
      </w:tblGrid>
      <w:tr w:rsidR="00B04944" w14:paraId="5C080DD9" w14:textId="79C81B96" w:rsidTr="002018CF">
        <w:trPr>
          <w:cnfStyle w:val="100000000000" w:firstRow="1" w:lastRow="0" w:firstColumn="0" w:lastColumn="0" w:oddVBand="0" w:evenVBand="0" w:oddHBand="0" w:evenHBand="0" w:firstRowFirstColumn="0" w:firstRowLastColumn="0" w:lastRowFirstColumn="0" w:lastRowLastColumn="0"/>
          <w:trHeight w:val="1134"/>
        </w:trPr>
        <w:tc>
          <w:tcPr>
            <w:tcW w:w="2263" w:type="dxa"/>
          </w:tcPr>
          <w:p w14:paraId="29D6CEF5" w14:textId="77777777" w:rsidR="00B04944" w:rsidRDefault="00B04944" w:rsidP="002018CF">
            <w:pPr>
              <w:spacing w:before="0"/>
              <w:contextualSpacing/>
            </w:pPr>
            <w:r>
              <w:t>Type d’approvisionnement</w:t>
            </w:r>
          </w:p>
        </w:tc>
        <w:tc>
          <w:tcPr>
            <w:tcW w:w="2127" w:type="dxa"/>
          </w:tcPr>
          <w:p w14:paraId="30CE5157" w14:textId="77777777" w:rsidR="00B04944" w:rsidRDefault="00B04944" w:rsidP="002018CF">
            <w:pPr>
              <w:spacing w:before="0"/>
              <w:contextualSpacing/>
            </w:pPr>
            <w:r>
              <w:t>Ministères et la plupart des organismes</w:t>
            </w:r>
          </w:p>
        </w:tc>
        <w:tc>
          <w:tcPr>
            <w:tcW w:w="2409" w:type="dxa"/>
          </w:tcPr>
          <w:p w14:paraId="76134341" w14:textId="14358311" w:rsidR="00B04944" w:rsidRDefault="003A15F4" w:rsidP="002018CF">
            <w:pPr>
              <w:spacing w:before="0"/>
              <w:contextualSpacing/>
            </w:pPr>
            <w:r>
              <w:t>Organismes provinciaux, entités commerciales ou industrielles</w:t>
            </w:r>
          </w:p>
        </w:tc>
        <w:tc>
          <w:tcPr>
            <w:tcW w:w="2409" w:type="dxa"/>
          </w:tcPr>
          <w:p w14:paraId="0CD74A99" w14:textId="2596C0A8" w:rsidR="00B04944" w:rsidRDefault="00B04944" w:rsidP="002018CF">
            <w:pPr>
              <w:spacing w:before="0"/>
              <w:contextualSpacing/>
            </w:pPr>
            <w:r>
              <w:t>Conseils scolaires, entités universitaires, sanitaires et sociales financées par des fonds publics</w:t>
            </w:r>
          </w:p>
        </w:tc>
      </w:tr>
      <w:tr w:rsidR="00B04944" w14:paraId="3C17C76B" w14:textId="7384E866" w:rsidTr="002018CF">
        <w:trPr>
          <w:cnfStyle w:val="000000100000" w:firstRow="0" w:lastRow="0" w:firstColumn="0" w:lastColumn="0" w:oddVBand="0" w:evenVBand="0" w:oddHBand="1" w:evenHBand="0" w:firstRowFirstColumn="0" w:firstRowLastColumn="0" w:lastRowFirstColumn="0" w:lastRowLastColumn="0"/>
          <w:trHeight w:val="452"/>
        </w:trPr>
        <w:tc>
          <w:tcPr>
            <w:tcW w:w="2263" w:type="dxa"/>
          </w:tcPr>
          <w:p w14:paraId="3C0813C6" w14:textId="77777777" w:rsidR="00B04944" w:rsidRDefault="00B04944" w:rsidP="002018CF">
            <w:pPr>
              <w:spacing w:before="0"/>
              <w:contextualSpacing/>
            </w:pPr>
            <w:r>
              <w:t>Biens</w:t>
            </w:r>
          </w:p>
        </w:tc>
        <w:tc>
          <w:tcPr>
            <w:tcW w:w="2127" w:type="dxa"/>
          </w:tcPr>
          <w:p w14:paraId="1CEB79E2" w14:textId="77777777" w:rsidR="00B04944" w:rsidRDefault="00B04944" w:rsidP="002018CF">
            <w:pPr>
              <w:spacing w:before="0"/>
              <w:contextualSpacing/>
            </w:pPr>
            <w:r>
              <w:t>30 300 $</w:t>
            </w:r>
          </w:p>
        </w:tc>
        <w:tc>
          <w:tcPr>
            <w:tcW w:w="2409" w:type="dxa"/>
          </w:tcPr>
          <w:p w14:paraId="10AF9C9C" w14:textId="330CD0D1" w:rsidR="00B04944" w:rsidRDefault="00993ED0" w:rsidP="002018CF">
            <w:pPr>
              <w:spacing w:before="0"/>
              <w:contextualSpacing/>
            </w:pPr>
            <w:r>
              <w:t>605 600 $</w:t>
            </w:r>
          </w:p>
        </w:tc>
        <w:tc>
          <w:tcPr>
            <w:tcW w:w="2409" w:type="dxa"/>
          </w:tcPr>
          <w:p w14:paraId="4CD47FB9" w14:textId="2FF23B5D" w:rsidR="00B04944" w:rsidRDefault="00B04944" w:rsidP="002018CF">
            <w:pPr>
              <w:spacing w:before="0"/>
              <w:contextualSpacing/>
            </w:pPr>
            <w:r>
              <w:t>121 200 $</w:t>
            </w:r>
          </w:p>
        </w:tc>
      </w:tr>
      <w:tr w:rsidR="00B04944" w14:paraId="68BED254" w14:textId="23BABC56" w:rsidTr="002018CF">
        <w:trPr>
          <w:trHeight w:val="340"/>
        </w:trPr>
        <w:tc>
          <w:tcPr>
            <w:tcW w:w="2263" w:type="dxa"/>
          </w:tcPr>
          <w:p w14:paraId="774A16EE" w14:textId="77777777" w:rsidR="00B04944" w:rsidRDefault="00B04944" w:rsidP="002018CF">
            <w:pPr>
              <w:spacing w:before="0"/>
              <w:contextualSpacing/>
            </w:pPr>
            <w:r>
              <w:t>Services</w:t>
            </w:r>
          </w:p>
        </w:tc>
        <w:tc>
          <w:tcPr>
            <w:tcW w:w="2127" w:type="dxa"/>
          </w:tcPr>
          <w:p w14:paraId="705E981A" w14:textId="77777777" w:rsidR="00B04944" w:rsidRDefault="00B04944" w:rsidP="002018CF">
            <w:pPr>
              <w:spacing w:before="0"/>
              <w:contextualSpacing/>
            </w:pPr>
            <w:r>
              <w:t>121 200 $</w:t>
            </w:r>
          </w:p>
        </w:tc>
        <w:tc>
          <w:tcPr>
            <w:tcW w:w="2409" w:type="dxa"/>
          </w:tcPr>
          <w:p w14:paraId="77FE1028" w14:textId="3BF71B3C" w:rsidR="00B04944" w:rsidRDefault="00941925" w:rsidP="002018CF">
            <w:pPr>
              <w:spacing w:before="0"/>
              <w:contextualSpacing/>
            </w:pPr>
            <w:r>
              <w:t>605 600 $</w:t>
            </w:r>
          </w:p>
        </w:tc>
        <w:tc>
          <w:tcPr>
            <w:tcW w:w="2409" w:type="dxa"/>
          </w:tcPr>
          <w:p w14:paraId="4DD7E783" w14:textId="542AF9A6" w:rsidR="00B04944" w:rsidRDefault="00B04944" w:rsidP="002018CF">
            <w:pPr>
              <w:spacing w:before="0"/>
              <w:contextualSpacing/>
            </w:pPr>
            <w:r>
              <w:t>121 200 $</w:t>
            </w:r>
          </w:p>
        </w:tc>
      </w:tr>
      <w:tr w:rsidR="00B04944" w14:paraId="00432BD8" w14:textId="5540763F" w:rsidTr="002018CF">
        <w:trPr>
          <w:cnfStyle w:val="000000100000" w:firstRow="0" w:lastRow="0" w:firstColumn="0" w:lastColumn="0" w:oddVBand="0" w:evenVBand="0" w:oddHBand="1" w:evenHBand="0" w:firstRowFirstColumn="0" w:firstRowLastColumn="0" w:lastRowFirstColumn="0" w:lastRowLastColumn="0"/>
          <w:trHeight w:val="340"/>
        </w:trPr>
        <w:tc>
          <w:tcPr>
            <w:tcW w:w="2263" w:type="dxa"/>
          </w:tcPr>
          <w:p w14:paraId="7B97CDD5" w14:textId="77777777" w:rsidR="00B04944" w:rsidRDefault="00B04944" w:rsidP="002018CF">
            <w:pPr>
              <w:spacing w:before="0"/>
              <w:contextualSpacing/>
            </w:pPr>
            <w:r>
              <w:t>Construction</w:t>
            </w:r>
          </w:p>
        </w:tc>
        <w:tc>
          <w:tcPr>
            <w:tcW w:w="2127" w:type="dxa"/>
          </w:tcPr>
          <w:p w14:paraId="09C0651C" w14:textId="77777777" w:rsidR="00B04944" w:rsidRDefault="00B04944" w:rsidP="002018CF">
            <w:pPr>
              <w:spacing w:before="0"/>
              <w:contextualSpacing/>
            </w:pPr>
            <w:r>
              <w:t>121 200 $</w:t>
            </w:r>
          </w:p>
        </w:tc>
        <w:tc>
          <w:tcPr>
            <w:tcW w:w="2409" w:type="dxa"/>
          </w:tcPr>
          <w:p w14:paraId="34F3990C" w14:textId="1BBA7DFB" w:rsidR="00B04944" w:rsidRDefault="00941925" w:rsidP="00941925">
            <w:pPr>
              <w:spacing w:before="0"/>
              <w:contextualSpacing/>
            </w:pPr>
            <w:r>
              <w:t>6 056 100 $</w:t>
            </w:r>
          </w:p>
        </w:tc>
        <w:tc>
          <w:tcPr>
            <w:tcW w:w="2409" w:type="dxa"/>
          </w:tcPr>
          <w:p w14:paraId="25052668" w14:textId="6A273FAE" w:rsidR="00B04944" w:rsidRDefault="003A15F4" w:rsidP="002018CF">
            <w:pPr>
              <w:spacing w:before="0"/>
              <w:contextualSpacing/>
            </w:pPr>
            <w:r>
              <w:t>121 200 $*</w:t>
            </w:r>
          </w:p>
        </w:tc>
      </w:tr>
    </w:tbl>
    <w:p w14:paraId="2BF59FB6" w14:textId="77777777" w:rsidR="00715886" w:rsidRDefault="00715886" w:rsidP="00715886">
      <w:pPr>
        <w:spacing w:after="240"/>
        <w:rPr>
          <w:rFonts w:eastAsia="Times New Roman" w:cs="Times New Roman"/>
          <w:sz w:val="16"/>
          <w:szCs w:val="16"/>
        </w:rPr>
      </w:pPr>
      <w:r>
        <w:rPr>
          <w:sz w:val="16"/>
          <w:szCs w:val="16"/>
        </w:rPr>
        <w:t>* Le montant de ce seuil est fondé sur l’ACCOQ (accord national) en vigueur en 2024.</w:t>
      </w:r>
    </w:p>
    <w:p w14:paraId="065710B1" w14:textId="77777777" w:rsidR="00253986" w:rsidRPr="00253986" w:rsidRDefault="00253986" w:rsidP="00253986">
      <w:pPr>
        <w:rPr>
          <w:b/>
          <w:bCs/>
        </w:rPr>
      </w:pPr>
      <w:r>
        <w:rPr>
          <w:b/>
          <w:bCs/>
        </w:rPr>
        <w:t>Accord économique et commercial global (AECG) entre le Canada et l’Union européenne</w:t>
      </w:r>
    </w:p>
    <w:tbl>
      <w:tblPr>
        <w:tblStyle w:val="GridTable4-Accent1"/>
        <w:tblW w:w="0" w:type="auto"/>
        <w:tblLook w:val="0420" w:firstRow="1" w:lastRow="0" w:firstColumn="0" w:lastColumn="0" w:noHBand="0" w:noVBand="1"/>
        <w:tblCaption w:val="Table 5: International trade agreement thresholds"/>
        <w:tblDescription w:val="International trade agreement thresholds are as follows"/>
      </w:tblPr>
      <w:tblGrid>
        <w:gridCol w:w="2665"/>
        <w:gridCol w:w="2005"/>
        <w:gridCol w:w="2286"/>
        <w:gridCol w:w="2394"/>
      </w:tblGrid>
      <w:tr w:rsidR="00D75764" w14:paraId="196391A4" w14:textId="77777777" w:rsidTr="002018CF">
        <w:trPr>
          <w:cnfStyle w:val="100000000000" w:firstRow="1" w:lastRow="0" w:firstColumn="0" w:lastColumn="0" w:oddVBand="0" w:evenVBand="0" w:oddHBand="0" w:evenHBand="0" w:firstRowFirstColumn="0" w:firstRowLastColumn="0" w:lastRowFirstColumn="0" w:lastRowLastColumn="0"/>
          <w:trHeight w:val="1163"/>
        </w:trPr>
        <w:tc>
          <w:tcPr>
            <w:tcW w:w="2343" w:type="dxa"/>
          </w:tcPr>
          <w:p w14:paraId="1F8F0041" w14:textId="77777777" w:rsidR="00D75764" w:rsidRDefault="00D75764" w:rsidP="002018CF">
            <w:pPr>
              <w:spacing w:before="0"/>
              <w:contextualSpacing/>
            </w:pPr>
            <w:r>
              <w:t>Type d’approvisionnement</w:t>
            </w:r>
          </w:p>
        </w:tc>
        <w:tc>
          <w:tcPr>
            <w:tcW w:w="2104" w:type="dxa"/>
          </w:tcPr>
          <w:p w14:paraId="4C098BEA" w14:textId="77777777" w:rsidR="00D75764" w:rsidRDefault="00D75764" w:rsidP="002018CF">
            <w:pPr>
              <w:spacing w:before="0"/>
              <w:contextualSpacing/>
            </w:pPr>
            <w:r>
              <w:t>Ministères et la plupart des organismes</w:t>
            </w:r>
          </w:p>
        </w:tc>
        <w:tc>
          <w:tcPr>
            <w:tcW w:w="2382" w:type="dxa"/>
          </w:tcPr>
          <w:p w14:paraId="254962BB" w14:textId="77777777" w:rsidR="00D75764" w:rsidRDefault="00D75764" w:rsidP="002018CF">
            <w:pPr>
              <w:spacing w:before="0"/>
              <w:contextualSpacing/>
            </w:pPr>
            <w:r>
              <w:t>Organismes provinciaux, entités commerciales ou industrielles</w:t>
            </w:r>
          </w:p>
        </w:tc>
        <w:tc>
          <w:tcPr>
            <w:tcW w:w="2521" w:type="dxa"/>
          </w:tcPr>
          <w:p w14:paraId="0B5D67CB" w14:textId="77777777" w:rsidR="00D75764" w:rsidRDefault="00D75764" w:rsidP="002018CF">
            <w:pPr>
              <w:spacing w:before="0"/>
              <w:contextualSpacing/>
            </w:pPr>
            <w:r>
              <w:t>Conseils scolaires, entités universitaires, sanitaires et sociales financées par des fonds publics</w:t>
            </w:r>
          </w:p>
        </w:tc>
      </w:tr>
      <w:tr w:rsidR="00D75764" w14:paraId="634EA7A9" w14:textId="77777777" w:rsidTr="002018CF">
        <w:trPr>
          <w:cnfStyle w:val="000000100000" w:firstRow="0" w:lastRow="0" w:firstColumn="0" w:lastColumn="0" w:oddVBand="0" w:evenVBand="0" w:oddHBand="1" w:evenHBand="0" w:firstRowFirstColumn="0" w:firstRowLastColumn="0" w:lastRowFirstColumn="0" w:lastRowLastColumn="0"/>
          <w:trHeight w:val="432"/>
        </w:trPr>
        <w:tc>
          <w:tcPr>
            <w:tcW w:w="2343" w:type="dxa"/>
          </w:tcPr>
          <w:p w14:paraId="1BD71194" w14:textId="77777777" w:rsidR="00D75764" w:rsidRDefault="00D75764" w:rsidP="002018CF">
            <w:pPr>
              <w:spacing w:before="0"/>
              <w:contextualSpacing/>
            </w:pPr>
            <w:r>
              <w:t>Biens</w:t>
            </w:r>
          </w:p>
        </w:tc>
        <w:tc>
          <w:tcPr>
            <w:tcW w:w="2104" w:type="dxa"/>
          </w:tcPr>
          <w:p w14:paraId="24CA1BCE" w14:textId="77777777" w:rsidR="00D75764" w:rsidRDefault="00D75764" w:rsidP="002018CF">
            <w:pPr>
              <w:spacing w:before="0"/>
              <w:contextualSpacing/>
            </w:pPr>
            <w:r>
              <w:t>353 300 $</w:t>
            </w:r>
          </w:p>
        </w:tc>
        <w:tc>
          <w:tcPr>
            <w:tcW w:w="2382" w:type="dxa"/>
          </w:tcPr>
          <w:p w14:paraId="78997AC9" w14:textId="77777777" w:rsidR="00D75764" w:rsidRDefault="00D75764" w:rsidP="002018CF">
            <w:pPr>
              <w:spacing w:before="0"/>
              <w:contextualSpacing/>
            </w:pPr>
            <w:r>
              <w:t>627 200 $</w:t>
            </w:r>
          </w:p>
        </w:tc>
        <w:tc>
          <w:tcPr>
            <w:tcW w:w="2521" w:type="dxa"/>
          </w:tcPr>
          <w:p w14:paraId="33085FC4" w14:textId="77777777" w:rsidR="00D75764" w:rsidRDefault="00D75764" w:rsidP="002018CF">
            <w:pPr>
              <w:spacing w:before="0"/>
              <w:contextualSpacing/>
            </w:pPr>
            <w:r>
              <w:t>353 300 $</w:t>
            </w:r>
          </w:p>
        </w:tc>
      </w:tr>
      <w:tr w:rsidR="00D75764" w14:paraId="4D2B08A3" w14:textId="77777777" w:rsidTr="002018CF">
        <w:trPr>
          <w:trHeight w:val="340"/>
        </w:trPr>
        <w:tc>
          <w:tcPr>
            <w:tcW w:w="2343" w:type="dxa"/>
          </w:tcPr>
          <w:p w14:paraId="5B82E6D8" w14:textId="77777777" w:rsidR="00D75764" w:rsidRDefault="00D75764" w:rsidP="002018CF">
            <w:pPr>
              <w:spacing w:before="0"/>
              <w:contextualSpacing/>
            </w:pPr>
            <w:r>
              <w:t>Services</w:t>
            </w:r>
          </w:p>
        </w:tc>
        <w:tc>
          <w:tcPr>
            <w:tcW w:w="2104" w:type="dxa"/>
          </w:tcPr>
          <w:p w14:paraId="47DECE40" w14:textId="77777777" w:rsidR="00D75764" w:rsidRDefault="00D75764" w:rsidP="002018CF">
            <w:pPr>
              <w:spacing w:before="0"/>
              <w:contextualSpacing/>
            </w:pPr>
            <w:r>
              <w:t>353 300 $</w:t>
            </w:r>
          </w:p>
        </w:tc>
        <w:tc>
          <w:tcPr>
            <w:tcW w:w="2382" w:type="dxa"/>
          </w:tcPr>
          <w:p w14:paraId="499B48AA" w14:textId="77777777" w:rsidR="00D75764" w:rsidRDefault="00D75764" w:rsidP="002018CF">
            <w:pPr>
              <w:spacing w:before="0"/>
              <w:contextualSpacing/>
            </w:pPr>
            <w:r>
              <w:t>627 000 $</w:t>
            </w:r>
          </w:p>
        </w:tc>
        <w:tc>
          <w:tcPr>
            <w:tcW w:w="2521" w:type="dxa"/>
          </w:tcPr>
          <w:p w14:paraId="653F6C4F" w14:textId="77777777" w:rsidR="00D75764" w:rsidRDefault="00D75764" w:rsidP="002018CF">
            <w:pPr>
              <w:spacing w:before="0"/>
              <w:contextualSpacing/>
            </w:pPr>
            <w:r>
              <w:t>353 300 $</w:t>
            </w:r>
          </w:p>
        </w:tc>
      </w:tr>
      <w:tr w:rsidR="00D75764" w14:paraId="31664AAE" w14:textId="77777777" w:rsidTr="002018CF">
        <w:trPr>
          <w:cnfStyle w:val="000000100000" w:firstRow="0" w:lastRow="0" w:firstColumn="0" w:lastColumn="0" w:oddVBand="0" w:evenVBand="0" w:oddHBand="1" w:evenHBand="0" w:firstRowFirstColumn="0" w:firstRowLastColumn="0" w:lastRowFirstColumn="0" w:lastRowLastColumn="0"/>
          <w:trHeight w:val="340"/>
        </w:trPr>
        <w:tc>
          <w:tcPr>
            <w:tcW w:w="2343" w:type="dxa"/>
          </w:tcPr>
          <w:p w14:paraId="06F72B50" w14:textId="77777777" w:rsidR="00D75764" w:rsidRDefault="00D75764" w:rsidP="002018CF">
            <w:pPr>
              <w:spacing w:before="0"/>
              <w:contextualSpacing/>
            </w:pPr>
            <w:r>
              <w:t>Construction</w:t>
            </w:r>
          </w:p>
        </w:tc>
        <w:tc>
          <w:tcPr>
            <w:tcW w:w="2104" w:type="dxa"/>
          </w:tcPr>
          <w:p w14:paraId="53454439" w14:textId="77777777" w:rsidR="00D75764" w:rsidRDefault="00D75764" w:rsidP="002018CF">
            <w:pPr>
              <w:spacing w:before="0"/>
              <w:contextualSpacing/>
            </w:pPr>
            <w:r>
              <w:t>8 800,00 $</w:t>
            </w:r>
          </w:p>
        </w:tc>
        <w:tc>
          <w:tcPr>
            <w:tcW w:w="2382" w:type="dxa"/>
          </w:tcPr>
          <w:p w14:paraId="23572656" w14:textId="77777777" w:rsidR="00D75764" w:rsidRDefault="00D75764" w:rsidP="002018CF">
            <w:pPr>
              <w:spacing w:before="0"/>
              <w:contextualSpacing/>
            </w:pPr>
            <w:r>
              <w:t>8 800 000 $</w:t>
            </w:r>
          </w:p>
        </w:tc>
        <w:tc>
          <w:tcPr>
            <w:tcW w:w="2521" w:type="dxa"/>
          </w:tcPr>
          <w:p w14:paraId="61666CBC" w14:textId="77777777" w:rsidR="00D75764" w:rsidRDefault="00D75764" w:rsidP="002018CF">
            <w:pPr>
              <w:spacing w:before="0"/>
              <w:contextualSpacing/>
            </w:pPr>
            <w:r>
              <w:t>8 800,00 $</w:t>
            </w:r>
          </w:p>
        </w:tc>
      </w:tr>
    </w:tbl>
    <w:p w14:paraId="5D33CBAA" w14:textId="77777777" w:rsidR="00D75764" w:rsidRPr="00D75764" w:rsidRDefault="00D75764" w:rsidP="00D75764"/>
    <w:sectPr w:rsidR="00D75764" w:rsidRPr="00D75764" w:rsidSect="00DC7DCF">
      <w:pgSz w:w="12240" w:h="15840"/>
      <w:pgMar w:top="1440" w:right="1440" w:bottom="1440" w:left="1440" w:header="3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2E40" w14:textId="77777777" w:rsidR="001571A7" w:rsidRDefault="001571A7" w:rsidP="00F848AC">
      <w:r>
        <w:separator/>
      </w:r>
    </w:p>
    <w:p w14:paraId="64820EBC" w14:textId="77777777" w:rsidR="001571A7" w:rsidRDefault="001571A7"/>
  </w:endnote>
  <w:endnote w:type="continuationSeparator" w:id="0">
    <w:p w14:paraId="74A5CA77" w14:textId="77777777" w:rsidR="001571A7" w:rsidRDefault="001571A7" w:rsidP="00F848AC">
      <w:r>
        <w:continuationSeparator/>
      </w:r>
    </w:p>
    <w:p w14:paraId="17552527" w14:textId="77777777" w:rsidR="001571A7" w:rsidRDefault="001571A7"/>
  </w:endnote>
  <w:endnote w:type="continuationNotice" w:id="1">
    <w:p w14:paraId="7D60F892" w14:textId="77777777" w:rsidR="001571A7" w:rsidRDefault="00157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0000500000000000000"/>
    <w:charset w:val="00"/>
    <w:family w:val="modern"/>
    <w:notTrueType/>
    <w:pitch w:val="variable"/>
    <w:sig w:usb0="20000207"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72F1" w14:textId="77777777" w:rsidR="002018CF" w:rsidRPr="002018CF" w:rsidRDefault="002018CF" w:rsidP="008568A3">
    <w:pPr>
      <w:tabs>
        <w:tab w:val="center" w:pos="4680"/>
        <w:tab w:val="right" w:pos="9900"/>
      </w:tabs>
      <w:spacing w:before="0" w:after="0" w:line="240" w:lineRule="auto"/>
      <w:ind w:hanging="6"/>
      <w:jc w:val="right"/>
      <w:rPr>
        <w:rFonts w:eastAsia="Times New Roman" w:cs="Arial"/>
        <w:sz w:val="16"/>
        <w:szCs w:val="16"/>
      </w:rPr>
    </w:pPr>
    <w:r w:rsidRPr="002018CF">
      <w:rPr>
        <w:sz w:val="16"/>
        <w:szCs w:val="16"/>
      </w:rPr>
      <w:t xml:space="preserve">Initiative de développement des entreprises ontariennes – guide à l’intention des acheteurs </w:t>
    </w:r>
  </w:p>
  <w:p w14:paraId="5CD4D9CD" w14:textId="6B64D7E6" w:rsidR="002018CF" w:rsidRPr="002018CF" w:rsidRDefault="002018CF" w:rsidP="008568A3">
    <w:pPr>
      <w:tabs>
        <w:tab w:val="center" w:pos="4680"/>
        <w:tab w:val="right" w:pos="9900"/>
      </w:tabs>
      <w:spacing w:before="0" w:after="0" w:line="240" w:lineRule="auto"/>
      <w:ind w:hanging="6"/>
      <w:jc w:val="right"/>
      <w:rPr>
        <w:rFonts w:eastAsia="Times New Roman" w:cs="Arial"/>
        <w:sz w:val="16"/>
        <w:szCs w:val="16"/>
      </w:rPr>
    </w:pPr>
    <w:r w:rsidRPr="002018CF">
      <w:rPr>
        <w:sz w:val="16"/>
        <w:szCs w:val="16"/>
      </w:rPr>
      <w:t xml:space="preserve">Version de </w:t>
    </w:r>
    <w:r w:rsidR="00064DC3" w:rsidRPr="00064DC3">
      <w:rPr>
        <w:sz w:val="16"/>
        <w:szCs w:val="16"/>
      </w:rPr>
      <w:t>septembre</w:t>
    </w:r>
    <w:r w:rsidRPr="002018CF">
      <w:rPr>
        <w:sz w:val="16"/>
        <w:szCs w:val="16"/>
      </w:rPr>
      <w:t xml:space="preserve"> 2024 </w:t>
    </w:r>
  </w:p>
  <w:p w14:paraId="38643414" w14:textId="446054AF" w:rsidR="002018CF" w:rsidRPr="00080240" w:rsidRDefault="002018CF" w:rsidP="000D1E4B">
    <w:pPr>
      <w:tabs>
        <w:tab w:val="center" w:pos="4680"/>
        <w:tab w:val="right" w:pos="9900"/>
      </w:tabs>
      <w:spacing w:before="0" w:after="0" w:line="240" w:lineRule="auto"/>
      <w:ind w:hanging="6"/>
      <w:jc w:val="right"/>
      <w:rPr>
        <w:rFonts w:eastAsia="Times New Roman" w:cs="Arial"/>
        <w:color w:val="800080"/>
        <w:szCs w:val="24"/>
      </w:rPr>
    </w:pPr>
    <w:r w:rsidRPr="00080240">
      <w:rPr>
        <w:rFonts w:eastAsia="Times New Roman" w:cs="Arial"/>
        <w:color w:val="000000"/>
        <w:sz w:val="20"/>
        <w:szCs w:val="20"/>
      </w:rPr>
      <w:fldChar w:fldCharType="begin"/>
    </w:r>
    <w:r w:rsidRPr="00080240">
      <w:rPr>
        <w:rFonts w:eastAsia="Times New Roman" w:cs="Arial"/>
        <w:color w:val="000000"/>
        <w:sz w:val="20"/>
        <w:szCs w:val="20"/>
      </w:rPr>
      <w:instrText xml:space="preserve"> PAGE   \* MERGEFORMAT </w:instrText>
    </w:r>
    <w:r w:rsidRPr="00080240">
      <w:rPr>
        <w:rFonts w:eastAsia="Times New Roman" w:cs="Arial"/>
        <w:color w:val="000000"/>
        <w:sz w:val="20"/>
        <w:szCs w:val="20"/>
      </w:rPr>
      <w:fldChar w:fldCharType="separate"/>
    </w:r>
    <w:r w:rsidR="00FC1A30">
      <w:rPr>
        <w:rFonts w:eastAsia="Times New Roman" w:cs="Arial"/>
        <w:noProof/>
        <w:color w:val="000000"/>
        <w:sz w:val="20"/>
        <w:szCs w:val="20"/>
      </w:rPr>
      <w:t>40</w:t>
    </w:r>
    <w:r w:rsidRPr="00080240">
      <w:rPr>
        <w:rFonts w:eastAsia="Times New Roman"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B717" w14:textId="2C7FCCE6" w:rsidR="002018CF" w:rsidRPr="00BF6DE6" w:rsidRDefault="002018CF" w:rsidP="000A751B">
    <w:pPr>
      <w:tabs>
        <w:tab w:val="center" w:pos="4680"/>
        <w:tab w:val="right" w:pos="9900"/>
      </w:tabs>
      <w:ind w:hanging="5"/>
      <w:jc w:val="right"/>
      <w:rPr>
        <w:rFonts w:eastAsia="Times New Roman" w:cs="Arial"/>
        <w:color w:val="800080"/>
        <w:sz w:val="16"/>
        <w:szCs w:val="16"/>
      </w:rPr>
    </w:pPr>
    <w:r w:rsidRPr="00BF6DE6">
      <w:rPr>
        <w:sz w:val="16"/>
        <w:szCs w:val="16"/>
      </w:rPr>
      <w:t xml:space="preserve">Initiative de développement des entreprises ontariennes – guide à l’intention des acheteurs   </w:t>
    </w:r>
    <w:r w:rsidRPr="00BF6DE6">
      <w:rPr>
        <w:color w:val="006E81"/>
        <w:sz w:val="16"/>
        <w:szCs w:val="16"/>
      </w:rPr>
      <w:t xml:space="preserve"> </w:t>
    </w:r>
    <w:r w:rsidRPr="00BF6DE6">
      <w:rPr>
        <w:rFonts w:eastAsia="Times New Roman" w:cs="Arial"/>
        <w:color w:val="000000"/>
        <w:sz w:val="16"/>
        <w:szCs w:val="16"/>
      </w:rPr>
      <w:fldChar w:fldCharType="begin"/>
    </w:r>
    <w:r w:rsidRPr="00BF6DE6">
      <w:rPr>
        <w:rFonts w:eastAsia="Times New Roman" w:cs="Arial"/>
        <w:color w:val="000000"/>
        <w:sz w:val="16"/>
        <w:szCs w:val="16"/>
      </w:rPr>
      <w:instrText xml:space="preserve"> PAGE   \* MERGEFORMAT </w:instrText>
    </w:r>
    <w:r w:rsidRPr="00BF6DE6">
      <w:rPr>
        <w:rFonts w:eastAsia="Times New Roman" w:cs="Arial"/>
        <w:color w:val="000000"/>
        <w:sz w:val="16"/>
        <w:szCs w:val="16"/>
      </w:rPr>
      <w:fldChar w:fldCharType="separate"/>
    </w:r>
    <w:r w:rsidR="00FC1A30">
      <w:rPr>
        <w:rFonts w:eastAsia="Times New Roman" w:cs="Arial"/>
        <w:noProof/>
        <w:color w:val="000000"/>
        <w:sz w:val="16"/>
        <w:szCs w:val="16"/>
      </w:rPr>
      <w:t>1</w:t>
    </w:r>
    <w:r w:rsidRPr="00BF6DE6">
      <w:rPr>
        <w:rFonts w:eastAsia="Times New Roman" w:cs="Arial"/>
        <w:color w:val="000000"/>
        <w:sz w:val="16"/>
        <w:szCs w:val="16"/>
      </w:rPr>
      <w:fldChar w:fldCharType="end"/>
    </w:r>
  </w:p>
  <w:p w14:paraId="56606F47" w14:textId="38CF51F1" w:rsidR="002018CF" w:rsidRDefault="00201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A14A" w14:textId="77777777" w:rsidR="001571A7" w:rsidRDefault="001571A7" w:rsidP="00F848AC">
      <w:r>
        <w:separator/>
      </w:r>
    </w:p>
    <w:p w14:paraId="2E77779D" w14:textId="77777777" w:rsidR="001571A7" w:rsidRDefault="001571A7"/>
  </w:footnote>
  <w:footnote w:type="continuationSeparator" w:id="0">
    <w:p w14:paraId="53F0E1B2" w14:textId="77777777" w:rsidR="001571A7" w:rsidRDefault="001571A7" w:rsidP="00F848AC">
      <w:r>
        <w:continuationSeparator/>
      </w:r>
    </w:p>
    <w:p w14:paraId="5B0F42FA" w14:textId="77777777" w:rsidR="001571A7" w:rsidRDefault="001571A7"/>
  </w:footnote>
  <w:footnote w:type="continuationNotice" w:id="1">
    <w:p w14:paraId="77F8E4EC" w14:textId="77777777" w:rsidR="001571A7" w:rsidRDefault="001571A7">
      <w:pPr>
        <w:spacing w:after="0" w:line="240" w:lineRule="auto"/>
      </w:pPr>
    </w:p>
  </w:footnote>
  <w:footnote w:id="2">
    <w:p w14:paraId="083B95EA" w14:textId="38466F5C" w:rsidR="002018CF" w:rsidRPr="005348AF" w:rsidRDefault="002018CF">
      <w:pPr>
        <w:pStyle w:val="FootnoteText"/>
      </w:pPr>
      <w:r>
        <w:rPr>
          <w:rStyle w:val="FootnoteReference"/>
        </w:rPr>
        <w:footnoteRef/>
      </w:r>
      <w:r>
        <w:t xml:space="preserve"> Les seuils sont mis à jour deux fois par an pour tenir compte de l’inflation.</w:t>
      </w:r>
    </w:p>
  </w:footnote>
  <w:footnote w:id="3">
    <w:p w14:paraId="23EBE75B" w14:textId="1E725FAF" w:rsidR="002018CF" w:rsidRDefault="002018CF" w:rsidP="008872AE">
      <w:r>
        <w:rPr>
          <w:rStyle w:val="FootnoteReference"/>
        </w:rPr>
        <w:footnoteRef/>
      </w:r>
      <w:r>
        <w:t xml:space="preserve"> Un appel d’offres sur invitation est réalisé en invitant à un minimum de trois (3) fournisseurs qualifiés à soumettre une proposition écrite en réponse aux besoins de l’acheteur public.</w:t>
      </w:r>
    </w:p>
    <w:p w14:paraId="0C73E075" w14:textId="7FF21788" w:rsidR="002018CF" w:rsidRPr="00BF6DE6" w:rsidRDefault="002018CF">
      <w:pPr>
        <w:pStyle w:val="FootnoteText"/>
      </w:pPr>
    </w:p>
  </w:footnote>
  <w:footnote w:id="4">
    <w:p w14:paraId="7C3E40F4" w14:textId="43AF9E25" w:rsidR="002018CF" w:rsidRPr="00264B5C" w:rsidRDefault="002018CF" w:rsidP="006E7188">
      <w:pPr>
        <w:rPr>
          <w:b/>
          <w:bCs/>
          <w:sz w:val="18"/>
          <w:szCs w:val="18"/>
        </w:rPr>
      </w:pPr>
      <w:r>
        <w:rPr>
          <w:rStyle w:val="FootnoteReference"/>
        </w:rPr>
        <w:footnoteRef/>
      </w:r>
      <w:r>
        <w:t xml:space="preserve"> </w:t>
      </w:r>
      <w:r>
        <w:rPr>
          <w:sz w:val="18"/>
          <w:szCs w:val="18"/>
        </w:rPr>
        <w:t>Le processus d’approvisionnement est ouvert et concurrentiel s’il satisfait à la condition minimale de publier les documents d’approvisionnement au moyen d’un système électronique d’appel d’offres désigné (Portail des appels d’offres de l’Ontario, MERX, etc.).</w:t>
      </w:r>
    </w:p>
    <w:p w14:paraId="38FA76B0" w14:textId="7B4EBA83" w:rsidR="002018CF" w:rsidRPr="00BF6DE6" w:rsidRDefault="002018CF">
      <w:pPr>
        <w:pStyle w:val="FootnoteText"/>
      </w:pPr>
    </w:p>
  </w:footnote>
  <w:footnote w:id="5">
    <w:p w14:paraId="313A0CFC" w14:textId="584343D1" w:rsidR="002018CF" w:rsidRPr="00CF2429" w:rsidRDefault="002018CF">
      <w:pPr>
        <w:pStyle w:val="FootnoteText"/>
      </w:pPr>
      <w:r>
        <w:rPr>
          <w:rStyle w:val="FootnoteReference"/>
        </w:rPr>
        <w:footnoteRef/>
      </w:r>
      <w:r>
        <w:t xml:space="preserve"> Un approvisionnement non concurrentiel est un achat d’un fournisseur unique ou d’une seule source. Tout approvisionnement non concurrentiel est conditionné aux approbations appropriées.</w:t>
      </w:r>
    </w:p>
  </w:footnote>
  <w:footnote w:id="6">
    <w:p w14:paraId="6A3287CB" w14:textId="77777777" w:rsidR="002018CF" w:rsidRPr="006E3E6F" w:rsidRDefault="002018CF" w:rsidP="009926C3">
      <w:pPr>
        <w:pStyle w:val="FootnoteText"/>
      </w:pPr>
      <w:r>
        <w:rPr>
          <w:rStyle w:val="FootnoteReference"/>
        </w:rPr>
        <w:footnoteRef/>
      </w:r>
      <w:r>
        <w:t xml:space="preserve"> Les seuils sont mis à jour deux fois par an pour tenir compte de l’inflation.</w:t>
      </w:r>
    </w:p>
  </w:footnote>
  <w:footnote w:id="7">
    <w:p w14:paraId="18AB23DA" w14:textId="77777777" w:rsidR="002018CF" w:rsidRPr="006E3E6F" w:rsidRDefault="002018CF" w:rsidP="006D6C15">
      <w:pPr>
        <w:pStyle w:val="FootnoteText"/>
      </w:pPr>
      <w:r>
        <w:rPr>
          <w:rStyle w:val="FootnoteReference"/>
        </w:rPr>
        <w:footnoteRef/>
      </w:r>
      <w:r>
        <w:t xml:space="preserve"> Les seuils sont mis à jour deux fois par an pour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FAC9" w14:textId="0EFAD10E" w:rsidR="002018CF" w:rsidRDefault="002018CF" w:rsidP="00BB3524">
    <w:pPr>
      <w:pStyle w:val="Header"/>
      <w:spacing w:after="360"/>
      <w:ind w:firstLine="0"/>
      <w:jc w:val="right"/>
    </w:pPr>
    <w:r>
      <w:rPr>
        <w:noProof/>
        <w:lang w:eastAsia="fr-CA"/>
      </w:rPr>
      <w:drawing>
        <wp:inline distT="0" distB="0" distL="0" distR="0" wp14:anchorId="53D0728A" wp14:editId="7EC70A8B">
          <wp:extent cx="1151890" cy="460375"/>
          <wp:effectExtent l="0" t="0" r="0" b="0"/>
          <wp:docPr id="6" name="Picture 15" descr="Ontario logo"/>
          <wp:cNvGraphicFramePr/>
          <a:graphic xmlns:a="http://schemas.openxmlformats.org/drawingml/2006/main">
            <a:graphicData uri="http://schemas.openxmlformats.org/drawingml/2006/picture">
              <pic:pic xmlns:pic="http://schemas.openxmlformats.org/drawingml/2006/picture">
                <pic:nvPicPr>
                  <pic:cNvPr id="7" name="Picture 7" descr="Ontario logo"/>
                  <pic:cNvPicPr/>
                </pic:nvPicPr>
                <pic:blipFill>
                  <a:blip r:embed="rId1">
                    <a:extLst>
                      <a:ext uri="{28A0092B-C50C-407E-A947-70E740481C1C}">
                        <a14:useLocalDpi xmlns:a14="http://schemas.microsoft.com/office/drawing/2010/main" val="0"/>
                      </a:ext>
                    </a:extLst>
                  </a:blip>
                  <a:stretch>
                    <a:fillRect/>
                  </a:stretch>
                </pic:blipFill>
                <pic:spPr>
                  <a:xfrm>
                    <a:off x="0" y="0"/>
                    <a:ext cx="1151890" cy="460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99431D0"/>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D0F2560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E10AFEF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BE283B"/>
    <w:multiLevelType w:val="hybridMultilevel"/>
    <w:tmpl w:val="108AE67A"/>
    <w:lvl w:ilvl="0" w:tplc="4F66855E">
      <w:start w:val="1"/>
      <w:numFmt w:val="decimal"/>
      <w:lvlText w:val="Étape %1."/>
      <w:lvlJc w:val="left"/>
      <w:pPr>
        <w:ind w:left="1080" w:hanging="360"/>
      </w:pPr>
      <w:rPr>
        <w:rFonts w:hint="default"/>
        <w:b/>
        <w:bCs/>
        <w:color w:val="006E81" w:themeColor="text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B6AFA"/>
    <w:multiLevelType w:val="hybridMultilevel"/>
    <w:tmpl w:val="9B849620"/>
    <w:lvl w:ilvl="0" w:tplc="22FC68E2">
      <w:start w:val="1"/>
      <w:numFmt w:val="lowerLetter"/>
      <w:lvlText w:val="%1)"/>
      <w:lvlJc w:val="left"/>
      <w:pPr>
        <w:ind w:left="473" w:hanging="360"/>
      </w:pPr>
      <w:rPr>
        <w:rFonts w:hint="default"/>
      </w:rPr>
    </w:lvl>
    <w:lvl w:ilvl="1" w:tplc="10090019" w:tentative="1">
      <w:start w:val="1"/>
      <w:numFmt w:val="lowerLetter"/>
      <w:lvlText w:val="%2."/>
      <w:lvlJc w:val="left"/>
      <w:pPr>
        <w:ind w:left="1193" w:hanging="360"/>
      </w:pPr>
    </w:lvl>
    <w:lvl w:ilvl="2" w:tplc="1009001B" w:tentative="1">
      <w:start w:val="1"/>
      <w:numFmt w:val="lowerRoman"/>
      <w:lvlText w:val="%3."/>
      <w:lvlJc w:val="right"/>
      <w:pPr>
        <w:ind w:left="1913" w:hanging="180"/>
      </w:pPr>
    </w:lvl>
    <w:lvl w:ilvl="3" w:tplc="1009000F" w:tentative="1">
      <w:start w:val="1"/>
      <w:numFmt w:val="decimal"/>
      <w:lvlText w:val="%4."/>
      <w:lvlJc w:val="left"/>
      <w:pPr>
        <w:ind w:left="2633" w:hanging="360"/>
      </w:pPr>
    </w:lvl>
    <w:lvl w:ilvl="4" w:tplc="10090019" w:tentative="1">
      <w:start w:val="1"/>
      <w:numFmt w:val="lowerLetter"/>
      <w:lvlText w:val="%5."/>
      <w:lvlJc w:val="left"/>
      <w:pPr>
        <w:ind w:left="3353" w:hanging="360"/>
      </w:pPr>
    </w:lvl>
    <w:lvl w:ilvl="5" w:tplc="1009001B" w:tentative="1">
      <w:start w:val="1"/>
      <w:numFmt w:val="lowerRoman"/>
      <w:lvlText w:val="%6."/>
      <w:lvlJc w:val="right"/>
      <w:pPr>
        <w:ind w:left="4073" w:hanging="180"/>
      </w:pPr>
    </w:lvl>
    <w:lvl w:ilvl="6" w:tplc="1009000F" w:tentative="1">
      <w:start w:val="1"/>
      <w:numFmt w:val="decimal"/>
      <w:lvlText w:val="%7."/>
      <w:lvlJc w:val="left"/>
      <w:pPr>
        <w:ind w:left="4793" w:hanging="360"/>
      </w:pPr>
    </w:lvl>
    <w:lvl w:ilvl="7" w:tplc="10090019" w:tentative="1">
      <w:start w:val="1"/>
      <w:numFmt w:val="lowerLetter"/>
      <w:lvlText w:val="%8."/>
      <w:lvlJc w:val="left"/>
      <w:pPr>
        <w:ind w:left="5513" w:hanging="360"/>
      </w:pPr>
    </w:lvl>
    <w:lvl w:ilvl="8" w:tplc="1009001B" w:tentative="1">
      <w:start w:val="1"/>
      <w:numFmt w:val="lowerRoman"/>
      <w:lvlText w:val="%9."/>
      <w:lvlJc w:val="right"/>
      <w:pPr>
        <w:ind w:left="6233" w:hanging="180"/>
      </w:pPr>
    </w:lvl>
  </w:abstractNum>
  <w:abstractNum w:abstractNumId="5" w15:restartNumberingAfterBreak="0">
    <w:nsid w:val="044E5336"/>
    <w:multiLevelType w:val="hybridMultilevel"/>
    <w:tmpl w:val="F230D182"/>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5D3AE0"/>
    <w:multiLevelType w:val="hybridMultilevel"/>
    <w:tmpl w:val="69987FA6"/>
    <w:lvl w:ilvl="0" w:tplc="B0FAF7CE">
      <w:start w:val="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6F4D80"/>
    <w:multiLevelType w:val="hybridMultilevel"/>
    <w:tmpl w:val="2E3069F6"/>
    <w:lvl w:ilvl="0" w:tplc="B6CE8AEE">
      <w:start w:val="1"/>
      <w:numFmt w:val="decimal"/>
      <w:lvlText w:val="Étape %1."/>
      <w:lvlJc w:val="left"/>
      <w:pPr>
        <w:ind w:left="720" w:hanging="360"/>
      </w:pPr>
      <w:rPr>
        <w:rFonts w:hint="default"/>
        <w:b/>
        <w:bCs/>
        <w:color w:val="006E8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F29B6"/>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5E7A89"/>
    <w:multiLevelType w:val="hybridMultilevel"/>
    <w:tmpl w:val="D90652B4"/>
    <w:lvl w:ilvl="0" w:tplc="10090001">
      <w:start w:val="1"/>
      <w:numFmt w:val="bullet"/>
      <w:lvlText w:val=""/>
      <w:lvlJc w:val="left"/>
      <w:pPr>
        <w:ind w:left="360" w:hanging="360"/>
      </w:pPr>
      <w:rPr>
        <w:rFonts w:ascii="Symbol" w:hAnsi="Symbol" w:hint="default"/>
      </w:rPr>
    </w:lvl>
    <w:lvl w:ilvl="1" w:tplc="23C815B2">
      <w:start w:val="1"/>
      <w:numFmt w:val="bullet"/>
      <w:pStyle w:val="ListBullet1"/>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14715BB"/>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DB2115"/>
    <w:multiLevelType w:val="hybridMultilevel"/>
    <w:tmpl w:val="62607C6C"/>
    <w:lvl w:ilvl="0" w:tplc="4F66855E">
      <w:start w:val="1"/>
      <w:numFmt w:val="decimal"/>
      <w:lvlText w:val="Étape %1."/>
      <w:lvlJc w:val="left"/>
      <w:pPr>
        <w:ind w:left="720" w:hanging="360"/>
      </w:pPr>
      <w:rPr>
        <w:rFonts w:hint="default"/>
        <w:b/>
        <w:bCs/>
        <w:color w:val="006E8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2429A3"/>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5D283B"/>
    <w:multiLevelType w:val="hybridMultilevel"/>
    <w:tmpl w:val="39083BEC"/>
    <w:lvl w:ilvl="0" w:tplc="840A0F1C">
      <w:start w:val="2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55C26A9"/>
    <w:multiLevelType w:val="hybridMultilevel"/>
    <w:tmpl w:val="89AC220A"/>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301EFB"/>
    <w:multiLevelType w:val="hybridMultilevel"/>
    <w:tmpl w:val="7ECE04C6"/>
    <w:lvl w:ilvl="0" w:tplc="690081FC">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6" w15:restartNumberingAfterBreak="0">
    <w:nsid w:val="18E25737"/>
    <w:multiLevelType w:val="hybridMultilevel"/>
    <w:tmpl w:val="65F6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8746C"/>
    <w:multiLevelType w:val="hybridMultilevel"/>
    <w:tmpl w:val="4E488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C7D1687"/>
    <w:multiLevelType w:val="hybridMultilevel"/>
    <w:tmpl w:val="E9B8F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CF10F07"/>
    <w:multiLevelType w:val="hybridMultilevel"/>
    <w:tmpl w:val="38406A4A"/>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3F2094"/>
    <w:multiLevelType w:val="hybridMultilevel"/>
    <w:tmpl w:val="1E10B5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F622CF5"/>
    <w:multiLevelType w:val="hybridMultilevel"/>
    <w:tmpl w:val="7792A01A"/>
    <w:lvl w:ilvl="0" w:tplc="BEEACE90">
      <w:start w:val="1"/>
      <w:numFmt w:val="decimal"/>
      <w:lvlText w:val="Appendix A.%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3A114A"/>
    <w:multiLevelType w:val="hybridMultilevel"/>
    <w:tmpl w:val="D1427E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11E3E23"/>
    <w:multiLevelType w:val="hybridMultilevel"/>
    <w:tmpl w:val="28B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490755"/>
    <w:multiLevelType w:val="hybridMultilevel"/>
    <w:tmpl w:val="790C2D42"/>
    <w:lvl w:ilvl="0" w:tplc="44D044F2">
      <w:start w:val="1"/>
      <w:numFmt w:val="decimal"/>
      <w:lvlText w:val="Étape %1."/>
      <w:lvlJc w:val="left"/>
      <w:pPr>
        <w:ind w:left="720" w:hanging="360"/>
      </w:pPr>
      <w:rPr>
        <w:rFonts w:hint="default"/>
        <w:b/>
        <w:bCs/>
        <w:color w:val="006E8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03525D"/>
    <w:multiLevelType w:val="hybridMultilevel"/>
    <w:tmpl w:val="1A8A95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8020D55"/>
    <w:multiLevelType w:val="hybridMultilevel"/>
    <w:tmpl w:val="53FC7564"/>
    <w:lvl w:ilvl="0" w:tplc="350A484E">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7" w15:restartNumberingAfterBreak="0">
    <w:nsid w:val="2B1C1A15"/>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BE479B"/>
    <w:multiLevelType w:val="hybridMultilevel"/>
    <w:tmpl w:val="AE768690"/>
    <w:lvl w:ilvl="0" w:tplc="10090001">
      <w:start w:val="1"/>
      <w:numFmt w:val="bullet"/>
      <w:lvlText w:val=""/>
      <w:lvlJc w:val="left"/>
      <w:pPr>
        <w:ind w:left="1874" w:hanging="360"/>
      </w:pPr>
      <w:rPr>
        <w:rFonts w:ascii="Symbol" w:hAnsi="Symbol" w:hint="default"/>
      </w:rPr>
    </w:lvl>
    <w:lvl w:ilvl="1" w:tplc="FFFFFFFF" w:tentative="1">
      <w:start w:val="1"/>
      <w:numFmt w:val="lowerLetter"/>
      <w:lvlText w:val="%2."/>
      <w:lvlJc w:val="left"/>
      <w:pPr>
        <w:ind w:left="2594" w:hanging="360"/>
      </w:pPr>
    </w:lvl>
    <w:lvl w:ilvl="2" w:tplc="FFFFFFFF" w:tentative="1">
      <w:start w:val="1"/>
      <w:numFmt w:val="lowerRoman"/>
      <w:lvlText w:val="%3."/>
      <w:lvlJc w:val="right"/>
      <w:pPr>
        <w:ind w:left="3314" w:hanging="180"/>
      </w:pPr>
    </w:lvl>
    <w:lvl w:ilvl="3" w:tplc="FFFFFFFF" w:tentative="1">
      <w:start w:val="1"/>
      <w:numFmt w:val="decimal"/>
      <w:lvlText w:val="%4."/>
      <w:lvlJc w:val="left"/>
      <w:pPr>
        <w:ind w:left="4034" w:hanging="360"/>
      </w:pPr>
    </w:lvl>
    <w:lvl w:ilvl="4" w:tplc="FFFFFFFF" w:tentative="1">
      <w:start w:val="1"/>
      <w:numFmt w:val="lowerLetter"/>
      <w:lvlText w:val="%5."/>
      <w:lvlJc w:val="left"/>
      <w:pPr>
        <w:ind w:left="4754" w:hanging="360"/>
      </w:pPr>
    </w:lvl>
    <w:lvl w:ilvl="5" w:tplc="FFFFFFFF" w:tentative="1">
      <w:start w:val="1"/>
      <w:numFmt w:val="lowerRoman"/>
      <w:lvlText w:val="%6."/>
      <w:lvlJc w:val="right"/>
      <w:pPr>
        <w:ind w:left="5474" w:hanging="180"/>
      </w:pPr>
    </w:lvl>
    <w:lvl w:ilvl="6" w:tplc="FFFFFFFF" w:tentative="1">
      <w:start w:val="1"/>
      <w:numFmt w:val="decimal"/>
      <w:lvlText w:val="%7."/>
      <w:lvlJc w:val="left"/>
      <w:pPr>
        <w:ind w:left="6194" w:hanging="360"/>
      </w:pPr>
    </w:lvl>
    <w:lvl w:ilvl="7" w:tplc="FFFFFFFF" w:tentative="1">
      <w:start w:val="1"/>
      <w:numFmt w:val="lowerLetter"/>
      <w:lvlText w:val="%8."/>
      <w:lvlJc w:val="left"/>
      <w:pPr>
        <w:ind w:left="6914" w:hanging="360"/>
      </w:pPr>
    </w:lvl>
    <w:lvl w:ilvl="8" w:tplc="FFFFFFFF" w:tentative="1">
      <w:start w:val="1"/>
      <w:numFmt w:val="lowerRoman"/>
      <w:lvlText w:val="%9."/>
      <w:lvlJc w:val="right"/>
      <w:pPr>
        <w:ind w:left="7634" w:hanging="180"/>
      </w:pPr>
    </w:lvl>
  </w:abstractNum>
  <w:abstractNum w:abstractNumId="29" w15:restartNumberingAfterBreak="0">
    <w:nsid w:val="385001DF"/>
    <w:multiLevelType w:val="hybridMultilevel"/>
    <w:tmpl w:val="EB8AA6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9995755"/>
    <w:multiLevelType w:val="hybridMultilevel"/>
    <w:tmpl w:val="9830F956"/>
    <w:lvl w:ilvl="0" w:tplc="FFFFFFFF">
      <w:start w:val="1"/>
      <w:numFmt w:val="decimal"/>
      <w:lvlText w:val="Step %1."/>
      <w:lvlJc w:val="left"/>
      <w:pPr>
        <w:ind w:left="720" w:hanging="360"/>
      </w:pPr>
      <w:rPr>
        <w:rFonts w:hint="default"/>
        <w:color w:val="006E81" w:themeColor="text2"/>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start w:val="1"/>
      <w:numFmt w:val="lowerLetter"/>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CAB34A0"/>
    <w:multiLevelType w:val="hybridMultilevel"/>
    <w:tmpl w:val="C4B02A7A"/>
    <w:lvl w:ilvl="0" w:tplc="38C8E124">
      <w:start w:val="1"/>
      <w:numFmt w:val="decimal"/>
      <w:lvlText w:val="Étape %1."/>
      <w:lvlJc w:val="left"/>
      <w:pPr>
        <w:ind w:left="720" w:hanging="360"/>
      </w:pPr>
      <w:rPr>
        <w:rFonts w:hint="default"/>
        <w:b/>
        <w:bCs/>
        <w:color w:val="006E8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EA6338F"/>
    <w:multiLevelType w:val="hybridMultilevel"/>
    <w:tmpl w:val="405091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EBC6874"/>
    <w:multiLevelType w:val="hybridMultilevel"/>
    <w:tmpl w:val="EE76B57C"/>
    <w:lvl w:ilvl="0" w:tplc="2288FE04">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4" w15:restartNumberingAfterBreak="0">
    <w:nsid w:val="434A2F73"/>
    <w:multiLevelType w:val="hybridMultilevel"/>
    <w:tmpl w:val="52C835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9B606E"/>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FBACC1"/>
    <w:multiLevelType w:val="hybridMultilevel"/>
    <w:tmpl w:val="B096096C"/>
    <w:lvl w:ilvl="0" w:tplc="E006EF58">
      <w:start w:val="1"/>
      <w:numFmt w:val="decimal"/>
      <w:lvlText w:val="%1."/>
      <w:lvlJc w:val="left"/>
      <w:pPr>
        <w:ind w:left="360" w:hanging="360"/>
      </w:pPr>
    </w:lvl>
    <w:lvl w:ilvl="1" w:tplc="FB60368A">
      <w:start w:val="1"/>
      <w:numFmt w:val="lowerLetter"/>
      <w:lvlText w:val="%2."/>
      <w:lvlJc w:val="left"/>
      <w:pPr>
        <w:ind w:left="1080" w:hanging="360"/>
      </w:pPr>
    </w:lvl>
    <w:lvl w:ilvl="2" w:tplc="CD8E73F6">
      <w:start w:val="1"/>
      <w:numFmt w:val="lowerRoman"/>
      <w:lvlText w:val="%3."/>
      <w:lvlJc w:val="right"/>
      <w:pPr>
        <w:ind w:left="1800" w:hanging="180"/>
      </w:pPr>
    </w:lvl>
    <w:lvl w:ilvl="3" w:tplc="252EC338">
      <w:start w:val="1"/>
      <w:numFmt w:val="decimal"/>
      <w:lvlText w:val="%4."/>
      <w:lvlJc w:val="left"/>
      <w:pPr>
        <w:ind w:left="2520" w:hanging="360"/>
      </w:pPr>
    </w:lvl>
    <w:lvl w:ilvl="4" w:tplc="B84495F0">
      <w:start w:val="1"/>
      <w:numFmt w:val="lowerLetter"/>
      <w:lvlText w:val="%5."/>
      <w:lvlJc w:val="left"/>
      <w:pPr>
        <w:ind w:left="3240" w:hanging="360"/>
      </w:pPr>
    </w:lvl>
    <w:lvl w:ilvl="5" w:tplc="C1C094B8">
      <w:start w:val="1"/>
      <w:numFmt w:val="lowerRoman"/>
      <w:lvlText w:val="%6."/>
      <w:lvlJc w:val="right"/>
      <w:pPr>
        <w:ind w:left="3960" w:hanging="180"/>
      </w:pPr>
    </w:lvl>
    <w:lvl w:ilvl="6" w:tplc="E0AE186E">
      <w:start w:val="1"/>
      <w:numFmt w:val="decimal"/>
      <w:lvlText w:val="%7."/>
      <w:lvlJc w:val="left"/>
      <w:pPr>
        <w:ind w:left="4680" w:hanging="360"/>
      </w:pPr>
    </w:lvl>
    <w:lvl w:ilvl="7" w:tplc="8864F862">
      <w:start w:val="1"/>
      <w:numFmt w:val="lowerLetter"/>
      <w:lvlText w:val="%8."/>
      <w:lvlJc w:val="left"/>
      <w:pPr>
        <w:ind w:left="5400" w:hanging="360"/>
      </w:pPr>
    </w:lvl>
    <w:lvl w:ilvl="8" w:tplc="58A62AF8">
      <w:start w:val="1"/>
      <w:numFmt w:val="lowerRoman"/>
      <w:lvlText w:val="%9."/>
      <w:lvlJc w:val="right"/>
      <w:pPr>
        <w:ind w:left="6120" w:hanging="180"/>
      </w:pPr>
    </w:lvl>
  </w:abstractNum>
  <w:abstractNum w:abstractNumId="37" w15:restartNumberingAfterBreak="0">
    <w:nsid w:val="4C203C4D"/>
    <w:multiLevelType w:val="hybridMultilevel"/>
    <w:tmpl w:val="31CCAD0E"/>
    <w:lvl w:ilvl="0" w:tplc="70700A82">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8" w15:restartNumberingAfterBreak="0">
    <w:nsid w:val="4D987CA9"/>
    <w:multiLevelType w:val="hybridMultilevel"/>
    <w:tmpl w:val="27868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DCE1351"/>
    <w:multiLevelType w:val="hybridMultilevel"/>
    <w:tmpl w:val="A00C7B16"/>
    <w:lvl w:ilvl="0" w:tplc="FFFFFFF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E915DAC"/>
    <w:multiLevelType w:val="hybridMultilevel"/>
    <w:tmpl w:val="E6201D52"/>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4EDB5CD6"/>
    <w:multiLevelType w:val="hybridMultilevel"/>
    <w:tmpl w:val="92B483F2"/>
    <w:lvl w:ilvl="0" w:tplc="44FC003C">
      <w:start w:val="1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01573D2"/>
    <w:multiLevelType w:val="hybridMultilevel"/>
    <w:tmpl w:val="43FEDD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15B58BB"/>
    <w:multiLevelType w:val="hybridMultilevel"/>
    <w:tmpl w:val="6ECE3894"/>
    <w:lvl w:ilvl="0" w:tplc="10090017">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44" w15:restartNumberingAfterBreak="0">
    <w:nsid w:val="526F2FB6"/>
    <w:multiLevelType w:val="multilevel"/>
    <w:tmpl w:val="B03A5652"/>
    <w:lvl w:ilvl="0">
      <w:start w:val="1"/>
      <w:numFmt w:val="decimal"/>
      <w:lvlText w:val="%1"/>
      <w:lvlJc w:val="left"/>
      <w:pPr>
        <w:ind w:left="-134" w:hanging="432"/>
      </w:pPr>
      <w:rPr>
        <w:rFonts w:hint="default"/>
      </w:rPr>
    </w:lvl>
    <w:lvl w:ilvl="1">
      <w:start w:val="1"/>
      <w:numFmt w:val="decimal"/>
      <w:lvlText w:val="%1.%2"/>
      <w:lvlJc w:val="left"/>
      <w:pPr>
        <w:ind w:left="5395" w:hanging="576"/>
      </w:pPr>
      <w:rPr>
        <w:rFonts w:hint="default"/>
      </w:rPr>
    </w:lvl>
    <w:lvl w:ilvl="2">
      <w:start w:val="1"/>
      <w:numFmt w:val="decimal"/>
      <w:lvlText w:val="%1.%2.%3"/>
      <w:lvlJc w:val="left"/>
      <w:pPr>
        <w:ind w:left="3272" w:hanging="720"/>
      </w:pPr>
      <w:rPr>
        <w:rFonts w:hint="default"/>
        <w:sz w:val="30"/>
        <w:szCs w:val="30"/>
      </w:rPr>
    </w:lvl>
    <w:lvl w:ilvl="3">
      <w:start w:val="1"/>
      <w:numFmt w:val="decimal"/>
      <w:pStyle w:val="Heading4"/>
      <w:lvlText w:val="%1.%2.%3.%4"/>
      <w:lvlJc w:val="left"/>
      <w:pPr>
        <w:ind w:left="-270" w:hanging="864"/>
      </w:pPr>
      <w:rPr>
        <w:rFonts w:hint="default"/>
      </w:rPr>
    </w:lvl>
    <w:lvl w:ilvl="4">
      <w:start w:val="1"/>
      <w:numFmt w:val="decimal"/>
      <w:pStyle w:val="Heading5"/>
      <w:lvlText w:val="%1.%2.%3.%4.%5"/>
      <w:lvlJc w:val="left"/>
      <w:pPr>
        <w:ind w:left="-126" w:hanging="1008"/>
      </w:pPr>
      <w:rPr>
        <w:rFonts w:hint="default"/>
      </w:rPr>
    </w:lvl>
    <w:lvl w:ilvl="5">
      <w:start w:val="1"/>
      <w:numFmt w:val="decimal"/>
      <w:pStyle w:val="Heading6"/>
      <w:lvlText w:val="%1.%2.%3.%4.%5.%6"/>
      <w:lvlJc w:val="left"/>
      <w:pPr>
        <w:ind w:left="18" w:hanging="1152"/>
      </w:pPr>
      <w:rPr>
        <w:rFonts w:hint="default"/>
      </w:rPr>
    </w:lvl>
    <w:lvl w:ilvl="6">
      <w:start w:val="1"/>
      <w:numFmt w:val="decimal"/>
      <w:pStyle w:val="Heading7"/>
      <w:lvlText w:val="%1.%2.%3.%4.%5.%6.%7"/>
      <w:lvlJc w:val="left"/>
      <w:pPr>
        <w:ind w:left="162" w:hanging="1296"/>
      </w:pPr>
      <w:rPr>
        <w:rFonts w:hint="default"/>
      </w:rPr>
    </w:lvl>
    <w:lvl w:ilvl="7">
      <w:start w:val="1"/>
      <w:numFmt w:val="decimal"/>
      <w:pStyle w:val="Heading8"/>
      <w:lvlText w:val="%1.%2.%3.%4.%5.%6.%7.%8"/>
      <w:lvlJc w:val="left"/>
      <w:pPr>
        <w:ind w:left="306" w:hanging="1440"/>
      </w:pPr>
      <w:rPr>
        <w:rFonts w:hint="default"/>
      </w:rPr>
    </w:lvl>
    <w:lvl w:ilvl="8">
      <w:start w:val="1"/>
      <w:numFmt w:val="decimal"/>
      <w:pStyle w:val="Heading9"/>
      <w:lvlText w:val="%1.%2.%3.%4.%5.%6.%7.%8.%9"/>
      <w:lvlJc w:val="left"/>
      <w:pPr>
        <w:ind w:left="450" w:hanging="1584"/>
      </w:pPr>
      <w:rPr>
        <w:rFonts w:hint="default"/>
      </w:rPr>
    </w:lvl>
  </w:abstractNum>
  <w:abstractNum w:abstractNumId="45" w15:restartNumberingAfterBreak="0">
    <w:nsid w:val="53FB7B51"/>
    <w:multiLevelType w:val="hybridMultilevel"/>
    <w:tmpl w:val="286628F0"/>
    <w:lvl w:ilvl="0" w:tplc="04BCECF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6748D2"/>
    <w:multiLevelType w:val="hybridMultilevel"/>
    <w:tmpl w:val="CDB4242A"/>
    <w:lvl w:ilvl="0" w:tplc="FFFFFFFF">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7" w15:restartNumberingAfterBreak="0">
    <w:nsid w:val="552534B8"/>
    <w:multiLevelType w:val="hybridMultilevel"/>
    <w:tmpl w:val="E8C674AA"/>
    <w:lvl w:ilvl="0" w:tplc="3FC00EF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2B6905"/>
    <w:multiLevelType w:val="hybridMultilevel"/>
    <w:tmpl w:val="85DCEE16"/>
    <w:lvl w:ilvl="0" w:tplc="10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EBC0A01"/>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3D526BA"/>
    <w:multiLevelType w:val="hybridMultilevel"/>
    <w:tmpl w:val="570CD7F8"/>
    <w:lvl w:ilvl="0" w:tplc="513E3446">
      <w:start w:val="1"/>
      <w:numFmt w:val="decimal"/>
      <w:pStyle w:val="SummaryText"/>
      <w:lvlText w:val="%1."/>
      <w:lvlJc w:val="left"/>
      <w:pPr>
        <w:ind w:left="926" w:hanging="360"/>
      </w:pPr>
    </w:lvl>
    <w:lvl w:ilvl="1" w:tplc="08090019">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51" w15:restartNumberingAfterBreak="0">
    <w:nsid w:val="658A3E73"/>
    <w:multiLevelType w:val="hybridMultilevel"/>
    <w:tmpl w:val="8864F35C"/>
    <w:lvl w:ilvl="0" w:tplc="BC0A7BC4">
      <w:start w:val="1"/>
      <w:numFmt w:val="decimal"/>
      <w:lvlText w:val="Étape %1."/>
      <w:lvlJc w:val="left"/>
      <w:pPr>
        <w:ind w:left="720" w:hanging="360"/>
      </w:pPr>
      <w:rPr>
        <w:rFonts w:hint="default"/>
        <w:b/>
        <w:bCs/>
        <w:color w:val="006E81"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6150FB1"/>
    <w:multiLevelType w:val="hybridMultilevel"/>
    <w:tmpl w:val="6AD6F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750E1"/>
    <w:multiLevelType w:val="hybridMultilevel"/>
    <w:tmpl w:val="BB5686E4"/>
    <w:lvl w:ilvl="0" w:tplc="EB34E794">
      <w:start w:val="1"/>
      <w:numFmt w:val="decimal"/>
      <w:lvlText w:val="Étape %1."/>
      <w:lvlJc w:val="left"/>
      <w:pPr>
        <w:ind w:left="720" w:hanging="360"/>
      </w:pPr>
      <w:rPr>
        <w:rFonts w:hint="default"/>
        <w:b/>
        <w:bCs/>
        <w:color w:val="006E81"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99D7733"/>
    <w:multiLevelType w:val="hybridMultilevel"/>
    <w:tmpl w:val="708C1222"/>
    <w:lvl w:ilvl="0" w:tplc="1009000F">
      <w:start w:val="1"/>
      <w:numFmt w:val="decimal"/>
      <w:lvlText w:val="%1."/>
      <w:lvlJc w:val="left"/>
      <w:pPr>
        <w:ind w:left="360" w:hanging="360"/>
      </w:pPr>
    </w:lvl>
    <w:lvl w:ilvl="1" w:tplc="10090019" w:tentative="1">
      <w:start w:val="1"/>
      <w:numFmt w:val="lowerLetter"/>
      <w:lvlText w:val="%2."/>
      <w:lvlJc w:val="lef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55" w15:restartNumberingAfterBreak="0">
    <w:nsid w:val="6D330B11"/>
    <w:multiLevelType w:val="hybridMultilevel"/>
    <w:tmpl w:val="57C48FBA"/>
    <w:lvl w:ilvl="0" w:tplc="BE345FFC">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56" w15:restartNumberingAfterBreak="0">
    <w:nsid w:val="6E946939"/>
    <w:multiLevelType w:val="hybridMultilevel"/>
    <w:tmpl w:val="D1AC3096"/>
    <w:lvl w:ilvl="0" w:tplc="4E64DDB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720F5A"/>
    <w:multiLevelType w:val="hybridMultilevel"/>
    <w:tmpl w:val="D1427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5628E9"/>
    <w:multiLevelType w:val="hybridMultilevel"/>
    <w:tmpl w:val="3D2AFE1A"/>
    <w:lvl w:ilvl="0" w:tplc="26E0E0B4">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D6857BC"/>
    <w:multiLevelType w:val="hybridMultilevel"/>
    <w:tmpl w:val="0A049488"/>
    <w:lvl w:ilvl="0" w:tplc="2326C9D2">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60" w15:restartNumberingAfterBreak="0">
    <w:nsid w:val="7F9C5EBF"/>
    <w:multiLevelType w:val="hybridMultilevel"/>
    <w:tmpl w:val="44CCBBC8"/>
    <w:lvl w:ilvl="0" w:tplc="5C384294">
      <w:start w:val="1"/>
      <w:numFmt w:val="lowerLetter"/>
      <w:pStyle w:val="ListBullet3"/>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01501175">
    <w:abstractNumId w:val="9"/>
  </w:num>
  <w:num w:numId="2" w16cid:durableId="188639953">
    <w:abstractNumId w:val="0"/>
  </w:num>
  <w:num w:numId="3" w16cid:durableId="1682314980">
    <w:abstractNumId w:val="2"/>
  </w:num>
  <w:num w:numId="4" w16cid:durableId="1294678882">
    <w:abstractNumId w:val="1"/>
  </w:num>
  <w:num w:numId="5" w16cid:durableId="153881686">
    <w:abstractNumId w:val="50"/>
  </w:num>
  <w:num w:numId="6" w16cid:durableId="638345090">
    <w:abstractNumId w:val="44"/>
  </w:num>
  <w:num w:numId="7" w16cid:durableId="1228878283">
    <w:abstractNumId w:val="60"/>
  </w:num>
  <w:num w:numId="8" w16cid:durableId="820848734">
    <w:abstractNumId w:val="29"/>
  </w:num>
  <w:num w:numId="9" w16cid:durableId="2041777501">
    <w:abstractNumId w:val="51"/>
  </w:num>
  <w:num w:numId="10" w16cid:durableId="696152965">
    <w:abstractNumId w:val="24"/>
  </w:num>
  <w:num w:numId="11" w16cid:durableId="1920750131">
    <w:abstractNumId w:val="11"/>
  </w:num>
  <w:num w:numId="12" w16cid:durableId="1388645527">
    <w:abstractNumId w:val="22"/>
  </w:num>
  <w:num w:numId="13" w16cid:durableId="140663271">
    <w:abstractNumId w:val="4"/>
  </w:num>
  <w:num w:numId="14" w16cid:durableId="1437553643">
    <w:abstractNumId w:val="48"/>
  </w:num>
  <w:num w:numId="15" w16cid:durableId="1693993115">
    <w:abstractNumId w:val="58"/>
  </w:num>
  <w:num w:numId="16" w16cid:durableId="130442311">
    <w:abstractNumId w:val="49"/>
  </w:num>
  <w:num w:numId="17" w16cid:durableId="1712991963">
    <w:abstractNumId w:val="37"/>
  </w:num>
  <w:num w:numId="18" w16cid:durableId="1918856947">
    <w:abstractNumId w:val="57"/>
  </w:num>
  <w:num w:numId="19" w16cid:durableId="259408491">
    <w:abstractNumId w:val="59"/>
  </w:num>
  <w:num w:numId="20" w16cid:durableId="668095839">
    <w:abstractNumId w:val="10"/>
  </w:num>
  <w:num w:numId="21" w16cid:durableId="683241914">
    <w:abstractNumId w:val="43"/>
  </w:num>
  <w:num w:numId="22" w16cid:durableId="1676952997">
    <w:abstractNumId w:val="12"/>
  </w:num>
  <w:num w:numId="23" w16cid:durableId="1112629415">
    <w:abstractNumId w:val="33"/>
  </w:num>
  <w:num w:numId="24" w16cid:durableId="1125849061">
    <w:abstractNumId w:val="35"/>
  </w:num>
  <w:num w:numId="25" w16cid:durableId="73473640">
    <w:abstractNumId w:val="26"/>
  </w:num>
  <w:num w:numId="26" w16cid:durableId="325208848">
    <w:abstractNumId w:val="28"/>
  </w:num>
  <w:num w:numId="27" w16cid:durableId="1821530536">
    <w:abstractNumId w:val="27"/>
  </w:num>
  <w:num w:numId="28" w16cid:durableId="1321498135">
    <w:abstractNumId w:val="55"/>
  </w:num>
  <w:num w:numId="29" w16cid:durableId="722600528">
    <w:abstractNumId w:val="8"/>
  </w:num>
  <w:num w:numId="30" w16cid:durableId="708182506">
    <w:abstractNumId w:val="15"/>
  </w:num>
  <w:num w:numId="31" w16cid:durableId="786391217">
    <w:abstractNumId w:val="36"/>
  </w:num>
  <w:num w:numId="32" w16cid:durableId="701518251">
    <w:abstractNumId w:val="54"/>
  </w:num>
  <w:num w:numId="33" w16cid:durableId="1962571353">
    <w:abstractNumId w:val="18"/>
  </w:num>
  <w:num w:numId="34" w16cid:durableId="1998609883">
    <w:abstractNumId w:val="38"/>
  </w:num>
  <w:num w:numId="35" w16cid:durableId="189952135">
    <w:abstractNumId w:val="42"/>
  </w:num>
  <w:num w:numId="36" w16cid:durableId="1352609981">
    <w:abstractNumId w:val="17"/>
  </w:num>
  <w:num w:numId="37" w16cid:durableId="337080432">
    <w:abstractNumId w:val="34"/>
  </w:num>
  <w:num w:numId="38" w16cid:durableId="2077774105">
    <w:abstractNumId w:val="39"/>
  </w:num>
  <w:num w:numId="39" w16cid:durableId="817107752">
    <w:abstractNumId w:val="6"/>
  </w:num>
  <w:num w:numId="40" w16cid:durableId="1775706670">
    <w:abstractNumId w:val="41"/>
  </w:num>
  <w:num w:numId="41" w16cid:durableId="94785992">
    <w:abstractNumId w:val="13"/>
  </w:num>
  <w:num w:numId="42" w16cid:durableId="1072311261">
    <w:abstractNumId w:val="20"/>
  </w:num>
  <w:num w:numId="43" w16cid:durableId="705567469">
    <w:abstractNumId w:val="25"/>
  </w:num>
  <w:num w:numId="44" w16cid:durableId="421491043">
    <w:abstractNumId w:val="23"/>
  </w:num>
  <w:num w:numId="45" w16cid:durableId="846478959">
    <w:abstractNumId w:val="16"/>
  </w:num>
  <w:num w:numId="46" w16cid:durableId="452099621">
    <w:abstractNumId w:val="52"/>
  </w:num>
  <w:num w:numId="47" w16cid:durableId="1113357785">
    <w:abstractNumId w:val="19"/>
  </w:num>
  <w:num w:numId="48" w16cid:durableId="692196489">
    <w:abstractNumId w:val="56"/>
  </w:num>
  <w:num w:numId="49" w16cid:durableId="2131824241">
    <w:abstractNumId w:val="30"/>
  </w:num>
  <w:num w:numId="50" w16cid:durableId="1728407338">
    <w:abstractNumId w:val="32"/>
  </w:num>
  <w:num w:numId="51" w16cid:durableId="974336576">
    <w:abstractNumId w:val="40"/>
  </w:num>
  <w:num w:numId="52" w16cid:durableId="847870218">
    <w:abstractNumId w:val="53"/>
  </w:num>
  <w:num w:numId="53" w16cid:durableId="419058922">
    <w:abstractNumId w:val="7"/>
  </w:num>
  <w:num w:numId="54" w16cid:durableId="909341807">
    <w:abstractNumId w:val="14"/>
  </w:num>
  <w:num w:numId="55" w16cid:durableId="175047238">
    <w:abstractNumId w:val="5"/>
  </w:num>
  <w:num w:numId="56" w16cid:durableId="162017432">
    <w:abstractNumId w:val="45"/>
  </w:num>
  <w:num w:numId="57" w16cid:durableId="1968780077">
    <w:abstractNumId w:val="46"/>
  </w:num>
  <w:num w:numId="58" w16cid:durableId="130442936">
    <w:abstractNumId w:val="31"/>
  </w:num>
  <w:num w:numId="59" w16cid:durableId="1782455013">
    <w:abstractNumId w:val="21"/>
  </w:num>
  <w:num w:numId="60" w16cid:durableId="1637176271">
    <w:abstractNumId w:val="47"/>
  </w:num>
  <w:num w:numId="61" w16cid:durableId="2128961205">
    <w:abstractNumId w:val="47"/>
    <w:lvlOverride w:ilvl="0">
      <w:startOverride w:val="1"/>
    </w:lvlOverride>
  </w:num>
  <w:num w:numId="62" w16cid:durableId="2013682520">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yNTI2MbUwNzc1NzBR0lEKTi0uzszPAykwrAUAKwAn5SwAAAA="/>
  </w:docVars>
  <w:rsids>
    <w:rsidRoot w:val="00C31D63"/>
    <w:rsid w:val="000002E2"/>
    <w:rsid w:val="00000412"/>
    <w:rsid w:val="00000614"/>
    <w:rsid w:val="000006BB"/>
    <w:rsid w:val="000007BC"/>
    <w:rsid w:val="0000102B"/>
    <w:rsid w:val="00001091"/>
    <w:rsid w:val="00001E09"/>
    <w:rsid w:val="00002236"/>
    <w:rsid w:val="00002543"/>
    <w:rsid w:val="000025FE"/>
    <w:rsid w:val="000026C9"/>
    <w:rsid w:val="000027F9"/>
    <w:rsid w:val="00002DFB"/>
    <w:rsid w:val="00002E29"/>
    <w:rsid w:val="0000357C"/>
    <w:rsid w:val="00003980"/>
    <w:rsid w:val="00004031"/>
    <w:rsid w:val="00004901"/>
    <w:rsid w:val="00004B58"/>
    <w:rsid w:val="00004FF2"/>
    <w:rsid w:val="0000514C"/>
    <w:rsid w:val="00006063"/>
    <w:rsid w:val="0000645B"/>
    <w:rsid w:val="00006810"/>
    <w:rsid w:val="00006DB1"/>
    <w:rsid w:val="00006E7A"/>
    <w:rsid w:val="000073BC"/>
    <w:rsid w:val="00010692"/>
    <w:rsid w:val="000106C4"/>
    <w:rsid w:val="000108E7"/>
    <w:rsid w:val="00010C24"/>
    <w:rsid w:val="00010DED"/>
    <w:rsid w:val="000114B9"/>
    <w:rsid w:val="00011768"/>
    <w:rsid w:val="00011EF6"/>
    <w:rsid w:val="00011F0E"/>
    <w:rsid w:val="00011FD3"/>
    <w:rsid w:val="00012228"/>
    <w:rsid w:val="00012444"/>
    <w:rsid w:val="0001251F"/>
    <w:rsid w:val="000125DC"/>
    <w:rsid w:val="000127EF"/>
    <w:rsid w:val="00012903"/>
    <w:rsid w:val="00012981"/>
    <w:rsid w:val="000135A7"/>
    <w:rsid w:val="000138CC"/>
    <w:rsid w:val="00013E97"/>
    <w:rsid w:val="00013FED"/>
    <w:rsid w:val="0001497B"/>
    <w:rsid w:val="00014AC5"/>
    <w:rsid w:val="00015211"/>
    <w:rsid w:val="00015F7A"/>
    <w:rsid w:val="00016B4D"/>
    <w:rsid w:val="00016FDE"/>
    <w:rsid w:val="00017BF7"/>
    <w:rsid w:val="00017EE9"/>
    <w:rsid w:val="000202DB"/>
    <w:rsid w:val="00020AC0"/>
    <w:rsid w:val="00020C2F"/>
    <w:rsid w:val="0002106B"/>
    <w:rsid w:val="00021680"/>
    <w:rsid w:val="00021D5E"/>
    <w:rsid w:val="00021EF0"/>
    <w:rsid w:val="0002212D"/>
    <w:rsid w:val="00023130"/>
    <w:rsid w:val="0002317E"/>
    <w:rsid w:val="000232D7"/>
    <w:rsid w:val="000233C7"/>
    <w:rsid w:val="00023896"/>
    <w:rsid w:val="00023ACA"/>
    <w:rsid w:val="00023B18"/>
    <w:rsid w:val="00023CF1"/>
    <w:rsid w:val="00023FDD"/>
    <w:rsid w:val="00024093"/>
    <w:rsid w:val="00024DD3"/>
    <w:rsid w:val="000253A8"/>
    <w:rsid w:val="000257A5"/>
    <w:rsid w:val="000257CB"/>
    <w:rsid w:val="00025902"/>
    <w:rsid w:val="00025C7C"/>
    <w:rsid w:val="00025D53"/>
    <w:rsid w:val="00026090"/>
    <w:rsid w:val="0002613F"/>
    <w:rsid w:val="000263D3"/>
    <w:rsid w:val="00026738"/>
    <w:rsid w:val="0002686D"/>
    <w:rsid w:val="0002691F"/>
    <w:rsid w:val="00026CF0"/>
    <w:rsid w:val="00027058"/>
    <w:rsid w:val="0002722E"/>
    <w:rsid w:val="000275A9"/>
    <w:rsid w:val="00027BB3"/>
    <w:rsid w:val="00027E00"/>
    <w:rsid w:val="0003016A"/>
    <w:rsid w:val="000301C8"/>
    <w:rsid w:val="00030778"/>
    <w:rsid w:val="00030D8B"/>
    <w:rsid w:val="00031962"/>
    <w:rsid w:val="0003287E"/>
    <w:rsid w:val="00032B26"/>
    <w:rsid w:val="000333BC"/>
    <w:rsid w:val="000334C9"/>
    <w:rsid w:val="00033533"/>
    <w:rsid w:val="00033AE8"/>
    <w:rsid w:val="00033EC2"/>
    <w:rsid w:val="0003410C"/>
    <w:rsid w:val="00034164"/>
    <w:rsid w:val="000343D2"/>
    <w:rsid w:val="000343F4"/>
    <w:rsid w:val="000347B4"/>
    <w:rsid w:val="00034896"/>
    <w:rsid w:val="00034CC8"/>
    <w:rsid w:val="00034EB5"/>
    <w:rsid w:val="00035128"/>
    <w:rsid w:val="00035674"/>
    <w:rsid w:val="00035ACE"/>
    <w:rsid w:val="00035C93"/>
    <w:rsid w:val="00036536"/>
    <w:rsid w:val="000367DA"/>
    <w:rsid w:val="00036A91"/>
    <w:rsid w:val="00037307"/>
    <w:rsid w:val="000377A6"/>
    <w:rsid w:val="0003797A"/>
    <w:rsid w:val="00037CAD"/>
    <w:rsid w:val="00037D4B"/>
    <w:rsid w:val="00040274"/>
    <w:rsid w:val="000404CA"/>
    <w:rsid w:val="00040AFC"/>
    <w:rsid w:val="00040EFC"/>
    <w:rsid w:val="00040F40"/>
    <w:rsid w:val="00041055"/>
    <w:rsid w:val="00041349"/>
    <w:rsid w:val="000414BB"/>
    <w:rsid w:val="000415D1"/>
    <w:rsid w:val="000417F7"/>
    <w:rsid w:val="000420E0"/>
    <w:rsid w:val="000421D4"/>
    <w:rsid w:val="000428C7"/>
    <w:rsid w:val="000444BF"/>
    <w:rsid w:val="000444F9"/>
    <w:rsid w:val="0004468C"/>
    <w:rsid w:val="0004472F"/>
    <w:rsid w:val="0004492C"/>
    <w:rsid w:val="00044936"/>
    <w:rsid w:val="00044A27"/>
    <w:rsid w:val="00044CA4"/>
    <w:rsid w:val="00044DDC"/>
    <w:rsid w:val="000455D1"/>
    <w:rsid w:val="00045811"/>
    <w:rsid w:val="0004613D"/>
    <w:rsid w:val="00046442"/>
    <w:rsid w:val="0004689E"/>
    <w:rsid w:val="00047090"/>
    <w:rsid w:val="00047831"/>
    <w:rsid w:val="00047943"/>
    <w:rsid w:val="00047976"/>
    <w:rsid w:val="00047A6B"/>
    <w:rsid w:val="00047AF0"/>
    <w:rsid w:val="00047F94"/>
    <w:rsid w:val="00050523"/>
    <w:rsid w:val="000507EE"/>
    <w:rsid w:val="000508F9"/>
    <w:rsid w:val="00050A86"/>
    <w:rsid w:val="00051045"/>
    <w:rsid w:val="000513DB"/>
    <w:rsid w:val="0005152C"/>
    <w:rsid w:val="0005160D"/>
    <w:rsid w:val="00051F0F"/>
    <w:rsid w:val="00052822"/>
    <w:rsid w:val="00052D61"/>
    <w:rsid w:val="00053C3E"/>
    <w:rsid w:val="00053C79"/>
    <w:rsid w:val="00053DE9"/>
    <w:rsid w:val="00054484"/>
    <w:rsid w:val="000545A9"/>
    <w:rsid w:val="000545E3"/>
    <w:rsid w:val="0005512D"/>
    <w:rsid w:val="00055A66"/>
    <w:rsid w:val="00055A9D"/>
    <w:rsid w:val="00056028"/>
    <w:rsid w:val="00056078"/>
    <w:rsid w:val="00056342"/>
    <w:rsid w:val="00056A91"/>
    <w:rsid w:val="00056E49"/>
    <w:rsid w:val="0005730B"/>
    <w:rsid w:val="00057402"/>
    <w:rsid w:val="00057450"/>
    <w:rsid w:val="0005766D"/>
    <w:rsid w:val="00057B65"/>
    <w:rsid w:val="00057B70"/>
    <w:rsid w:val="00060225"/>
    <w:rsid w:val="00060281"/>
    <w:rsid w:val="0006073B"/>
    <w:rsid w:val="00060796"/>
    <w:rsid w:val="000607B9"/>
    <w:rsid w:val="00060BE8"/>
    <w:rsid w:val="00060ECB"/>
    <w:rsid w:val="000615F7"/>
    <w:rsid w:val="000617CF"/>
    <w:rsid w:val="00061AB8"/>
    <w:rsid w:val="00062069"/>
    <w:rsid w:val="000624E6"/>
    <w:rsid w:val="0006266A"/>
    <w:rsid w:val="000628E1"/>
    <w:rsid w:val="00063794"/>
    <w:rsid w:val="0006386D"/>
    <w:rsid w:val="0006388D"/>
    <w:rsid w:val="00063C62"/>
    <w:rsid w:val="00063DB6"/>
    <w:rsid w:val="0006436E"/>
    <w:rsid w:val="000644C9"/>
    <w:rsid w:val="000645C3"/>
    <w:rsid w:val="0006467A"/>
    <w:rsid w:val="00064DC3"/>
    <w:rsid w:val="00065309"/>
    <w:rsid w:val="00066B42"/>
    <w:rsid w:val="00066D4E"/>
    <w:rsid w:val="00066E31"/>
    <w:rsid w:val="0006739C"/>
    <w:rsid w:val="000675E3"/>
    <w:rsid w:val="00067D05"/>
    <w:rsid w:val="00070250"/>
    <w:rsid w:val="0007045F"/>
    <w:rsid w:val="0007064F"/>
    <w:rsid w:val="0007096C"/>
    <w:rsid w:val="000709DD"/>
    <w:rsid w:val="00071126"/>
    <w:rsid w:val="0007121C"/>
    <w:rsid w:val="00071321"/>
    <w:rsid w:val="000715C7"/>
    <w:rsid w:val="00071692"/>
    <w:rsid w:val="00071921"/>
    <w:rsid w:val="00071D19"/>
    <w:rsid w:val="0007277B"/>
    <w:rsid w:val="00072A8D"/>
    <w:rsid w:val="00072C2C"/>
    <w:rsid w:val="00072DF5"/>
    <w:rsid w:val="000735A0"/>
    <w:rsid w:val="000736D0"/>
    <w:rsid w:val="00073AA4"/>
    <w:rsid w:val="00073E6E"/>
    <w:rsid w:val="00073F2C"/>
    <w:rsid w:val="000741B7"/>
    <w:rsid w:val="00074545"/>
    <w:rsid w:val="000745E9"/>
    <w:rsid w:val="000747C0"/>
    <w:rsid w:val="00074E51"/>
    <w:rsid w:val="00075BF6"/>
    <w:rsid w:val="00075D5F"/>
    <w:rsid w:val="00076447"/>
    <w:rsid w:val="00076BD3"/>
    <w:rsid w:val="00076CDA"/>
    <w:rsid w:val="00076FEB"/>
    <w:rsid w:val="000773DE"/>
    <w:rsid w:val="00077586"/>
    <w:rsid w:val="0007765C"/>
    <w:rsid w:val="0007788D"/>
    <w:rsid w:val="000779ED"/>
    <w:rsid w:val="000779FC"/>
    <w:rsid w:val="00077BF8"/>
    <w:rsid w:val="00077C06"/>
    <w:rsid w:val="00077EC8"/>
    <w:rsid w:val="00077ED1"/>
    <w:rsid w:val="00080134"/>
    <w:rsid w:val="00080240"/>
    <w:rsid w:val="000803BD"/>
    <w:rsid w:val="000804BD"/>
    <w:rsid w:val="000806A4"/>
    <w:rsid w:val="00080D8D"/>
    <w:rsid w:val="00081281"/>
    <w:rsid w:val="00081AF4"/>
    <w:rsid w:val="0008204A"/>
    <w:rsid w:val="00082267"/>
    <w:rsid w:val="00082289"/>
    <w:rsid w:val="00082502"/>
    <w:rsid w:val="00082C10"/>
    <w:rsid w:val="00083233"/>
    <w:rsid w:val="000838A7"/>
    <w:rsid w:val="00083AED"/>
    <w:rsid w:val="00083EAD"/>
    <w:rsid w:val="000844AD"/>
    <w:rsid w:val="000844CD"/>
    <w:rsid w:val="0008477A"/>
    <w:rsid w:val="00084D8B"/>
    <w:rsid w:val="00084DF6"/>
    <w:rsid w:val="00084FE1"/>
    <w:rsid w:val="00085636"/>
    <w:rsid w:val="000857E0"/>
    <w:rsid w:val="00085855"/>
    <w:rsid w:val="00085C2C"/>
    <w:rsid w:val="00085E8C"/>
    <w:rsid w:val="000862DC"/>
    <w:rsid w:val="00086493"/>
    <w:rsid w:val="000866D9"/>
    <w:rsid w:val="00086A38"/>
    <w:rsid w:val="00087169"/>
    <w:rsid w:val="000871EC"/>
    <w:rsid w:val="0008739E"/>
    <w:rsid w:val="000873A0"/>
    <w:rsid w:val="00087448"/>
    <w:rsid w:val="0008761F"/>
    <w:rsid w:val="00087B89"/>
    <w:rsid w:val="00090466"/>
    <w:rsid w:val="00090AA3"/>
    <w:rsid w:val="00090BDA"/>
    <w:rsid w:val="00090D78"/>
    <w:rsid w:val="00090F9B"/>
    <w:rsid w:val="0009192C"/>
    <w:rsid w:val="00091BF2"/>
    <w:rsid w:val="000923AD"/>
    <w:rsid w:val="0009249A"/>
    <w:rsid w:val="00092E74"/>
    <w:rsid w:val="00093024"/>
    <w:rsid w:val="00093449"/>
    <w:rsid w:val="000936AC"/>
    <w:rsid w:val="0009371B"/>
    <w:rsid w:val="000938C3"/>
    <w:rsid w:val="00093E82"/>
    <w:rsid w:val="00094018"/>
    <w:rsid w:val="000943AA"/>
    <w:rsid w:val="00094527"/>
    <w:rsid w:val="000945EF"/>
    <w:rsid w:val="00094C75"/>
    <w:rsid w:val="00094F6D"/>
    <w:rsid w:val="00094F96"/>
    <w:rsid w:val="00095345"/>
    <w:rsid w:val="0009548B"/>
    <w:rsid w:val="00095C89"/>
    <w:rsid w:val="000961AF"/>
    <w:rsid w:val="00096A52"/>
    <w:rsid w:val="00097067"/>
    <w:rsid w:val="00097283"/>
    <w:rsid w:val="0009756E"/>
    <w:rsid w:val="000978C9"/>
    <w:rsid w:val="000A01B9"/>
    <w:rsid w:val="000A0205"/>
    <w:rsid w:val="000A0316"/>
    <w:rsid w:val="000A1218"/>
    <w:rsid w:val="000A17B6"/>
    <w:rsid w:val="000A1BC2"/>
    <w:rsid w:val="000A3668"/>
    <w:rsid w:val="000A36A0"/>
    <w:rsid w:val="000A3786"/>
    <w:rsid w:val="000A3B2B"/>
    <w:rsid w:val="000A3C6C"/>
    <w:rsid w:val="000A42A4"/>
    <w:rsid w:val="000A4829"/>
    <w:rsid w:val="000A48A3"/>
    <w:rsid w:val="000A4916"/>
    <w:rsid w:val="000A4D07"/>
    <w:rsid w:val="000A5262"/>
    <w:rsid w:val="000A534C"/>
    <w:rsid w:val="000A5863"/>
    <w:rsid w:val="000A58F2"/>
    <w:rsid w:val="000A5B9A"/>
    <w:rsid w:val="000A5F63"/>
    <w:rsid w:val="000A6163"/>
    <w:rsid w:val="000A6307"/>
    <w:rsid w:val="000A64EA"/>
    <w:rsid w:val="000A6899"/>
    <w:rsid w:val="000A6995"/>
    <w:rsid w:val="000A6A57"/>
    <w:rsid w:val="000A6E2A"/>
    <w:rsid w:val="000A7434"/>
    <w:rsid w:val="000A74C6"/>
    <w:rsid w:val="000A751B"/>
    <w:rsid w:val="000A7E67"/>
    <w:rsid w:val="000A7EC9"/>
    <w:rsid w:val="000A7FC6"/>
    <w:rsid w:val="000B0298"/>
    <w:rsid w:val="000B159B"/>
    <w:rsid w:val="000B15E3"/>
    <w:rsid w:val="000B1F5F"/>
    <w:rsid w:val="000B20F4"/>
    <w:rsid w:val="000B2318"/>
    <w:rsid w:val="000B2A39"/>
    <w:rsid w:val="000B30CA"/>
    <w:rsid w:val="000B3C96"/>
    <w:rsid w:val="000B3FE6"/>
    <w:rsid w:val="000B42AB"/>
    <w:rsid w:val="000B4373"/>
    <w:rsid w:val="000B46C3"/>
    <w:rsid w:val="000B4729"/>
    <w:rsid w:val="000B483B"/>
    <w:rsid w:val="000B523A"/>
    <w:rsid w:val="000B5307"/>
    <w:rsid w:val="000B531A"/>
    <w:rsid w:val="000B5481"/>
    <w:rsid w:val="000B5664"/>
    <w:rsid w:val="000B58A8"/>
    <w:rsid w:val="000B5B95"/>
    <w:rsid w:val="000B638C"/>
    <w:rsid w:val="000B664B"/>
    <w:rsid w:val="000B68B5"/>
    <w:rsid w:val="000B6CAE"/>
    <w:rsid w:val="000B717A"/>
    <w:rsid w:val="000C025A"/>
    <w:rsid w:val="000C0327"/>
    <w:rsid w:val="000C0360"/>
    <w:rsid w:val="000C056C"/>
    <w:rsid w:val="000C0755"/>
    <w:rsid w:val="000C0988"/>
    <w:rsid w:val="000C0CC8"/>
    <w:rsid w:val="000C0CCB"/>
    <w:rsid w:val="000C0E96"/>
    <w:rsid w:val="000C10CC"/>
    <w:rsid w:val="000C1134"/>
    <w:rsid w:val="000C114C"/>
    <w:rsid w:val="000C14B9"/>
    <w:rsid w:val="000C1638"/>
    <w:rsid w:val="000C175D"/>
    <w:rsid w:val="000C1799"/>
    <w:rsid w:val="000C1B3B"/>
    <w:rsid w:val="000C1CA1"/>
    <w:rsid w:val="000C1F1B"/>
    <w:rsid w:val="000C200C"/>
    <w:rsid w:val="000C22B0"/>
    <w:rsid w:val="000C2A60"/>
    <w:rsid w:val="000C312C"/>
    <w:rsid w:val="000C35C4"/>
    <w:rsid w:val="000C3893"/>
    <w:rsid w:val="000C45E0"/>
    <w:rsid w:val="000C45F9"/>
    <w:rsid w:val="000C4A14"/>
    <w:rsid w:val="000C4A94"/>
    <w:rsid w:val="000C4B3D"/>
    <w:rsid w:val="000C527A"/>
    <w:rsid w:val="000C5410"/>
    <w:rsid w:val="000C5477"/>
    <w:rsid w:val="000C5540"/>
    <w:rsid w:val="000C56C2"/>
    <w:rsid w:val="000C593C"/>
    <w:rsid w:val="000C5EDF"/>
    <w:rsid w:val="000C642B"/>
    <w:rsid w:val="000C643F"/>
    <w:rsid w:val="000C665A"/>
    <w:rsid w:val="000C6663"/>
    <w:rsid w:val="000C6B0A"/>
    <w:rsid w:val="000C6BA7"/>
    <w:rsid w:val="000D02F8"/>
    <w:rsid w:val="000D03BB"/>
    <w:rsid w:val="000D052D"/>
    <w:rsid w:val="000D05F2"/>
    <w:rsid w:val="000D0D3F"/>
    <w:rsid w:val="000D0D79"/>
    <w:rsid w:val="000D0D92"/>
    <w:rsid w:val="000D0DB8"/>
    <w:rsid w:val="000D11E3"/>
    <w:rsid w:val="000D155C"/>
    <w:rsid w:val="000D1E4B"/>
    <w:rsid w:val="000D2083"/>
    <w:rsid w:val="000D21D5"/>
    <w:rsid w:val="000D2B8B"/>
    <w:rsid w:val="000D2D7F"/>
    <w:rsid w:val="000D31B5"/>
    <w:rsid w:val="000D3A75"/>
    <w:rsid w:val="000D3C74"/>
    <w:rsid w:val="000D3D3F"/>
    <w:rsid w:val="000D417E"/>
    <w:rsid w:val="000D425D"/>
    <w:rsid w:val="000D42DE"/>
    <w:rsid w:val="000D438C"/>
    <w:rsid w:val="000D4659"/>
    <w:rsid w:val="000D4B53"/>
    <w:rsid w:val="000D4C06"/>
    <w:rsid w:val="000D4E64"/>
    <w:rsid w:val="000D5670"/>
    <w:rsid w:val="000D5813"/>
    <w:rsid w:val="000D5999"/>
    <w:rsid w:val="000D621B"/>
    <w:rsid w:val="000D66D0"/>
    <w:rsid w:val="000D6807"/>
    <w:rsid w:val="000D68BC"/>
    <w:rsid w:val="000D6B06"/>
    <w:rsid w:val="000D6C1E"/>
    <w:rsid w:val="000D70B1"/>
    <w:rsid w:val="000D732A"/>
    <w:rsid w:val="000D779F"/>
    <w:rsid w:val="000D7896"/>
    <w:rsid w:val="000D789F"/>
    <w:rsid w:val="000D7FB6"/>
    <w:rsid w:val="000E0096"/>
    <w:rsid w:val="000E01C7"/>
    <w:rsid w:val="000E0415"/>
    <w:rsid w:val="000E0B5E"/>
    <w:rsid w:val="000E0CDA"/>
    <w:rsid w:val="000E0EA0"/>
    <w:rsid w:val="000E18B1"/>
    <w:rsid w:val="000E2187"/>
    <w:rsid w:val="000E22C7"/>
    <w:rsid w:val="000E2647"/>
    <w:rsid w:val="000E2DFE"/>
    <w:rsid w:val="000E30A8"/>
    <w:rsid w:val="000E31CE"/>
    <w:rsid w:val="000E3290"/>
    <w:rsid w:val="000E33BC"/>
    <w:rsid w:val="000E3655"/>
    <w:rsid w:val="000E3828"/>
    <w:rsid w:val="000E39E2"/>
    <w:rsid w:val="000E45F0"/>
    <w:rsid w:val="000E46FD"/>
    <w:rsid w:val="000E4874"/>
    <w:rsid w:val="000E4BEC"/>
    <w:rsid w:val="000E4C85"/>
    <w:rsid w:val="000E4F6D"/>
    <w:rsid w:val="000E51EB"/>
    <w:rsid w:val="000E53E2"/>
    <w:rsid w:val="000E5550"/>
    <w:rsid w:val="000E56E3"/>
    <w:rsid w:val="000E5DDC"/>
    <w:rsid w:val="000E5F49"/>
    <w:rsid w:val="000E6002"/>
    <w:rsid w:val="000E6125"/>
    <w:rsid w:val="000E672F"/>
    <w:rsid w:val="000E6796"/>
    <w:rsid w:val="000E6CAB"/>
    <w:rsid w:val="000E6FB0"/>
    <w:rsid w:val="000E7117"/>
    <w:rsid w:val="000E7270"/>
    <w:rsid w:val="000E76B4"/>
    <w:rsid w:val="000E7C46"/>
    <w:rsid w:val="000E7F75"/>
    <w:rsid w:val="000F0086"/>
    <w:rsid w:val="000F0C14"/>
    <w:rsid w:val="000F0FA6"/>
    <w:rsid w:val="000F0FEB"/>
    <w:rsid w:val="000F11D2"/>
    <w:rsid w:val="000F145B"/>
    <w:rsid w:val="000F259E"/>
    <w:rsid w:val="000F32EF"/>
    <w:rsid w:val="000F32F6"/>
    <w:rsid w:val="000F3721"/>
    <w:rsid w:val="000F3896"/>
    <w:rsid w:val="000F38ED"/>
    <w:rsid w:val="000F3EB7"/>
    <w:rsid w:val="000F3FCB"/>
    <w:rsid w:val="000F4540"/>
    <w:rsid w:val="000F45B2"/>
    <w:rsid w:val="000F47E5"/>
    <w:rsid w:val="000F4B45"/>
    <w:rsid w:val="000F50F6"/>
    <w:rsid w:val="000F52B7"/>
    <w:rsid w:val="000F6081"/>
    <w:rsid w:val="000F6F03"/>
    <w:rsid w:val="000F6F10"/>
    <w:rsid w:val="000F77CA"/>
    <w:rsid w:val="000F782A"/>
    <w:rsid w:val="000F7F1F"/>
    <w:rsid w:val="000F7FD8"/>
    <w:rsid w:val="001004F0"/>
    <w:rsid w:val="00100C74"/>
    <w:rsid w:val="0010142D"/>
    <w:rsid w:val="0010170B"/>
    <w:rsid w:val="001020B4"/>
    <w:rsid w:val="001024DD"/>
    <w:rsid w:val="0010276C"/>
    <w:rsid w:val="001029B2"/>
    <w:rsid w:val="00102E2F"/>
    <w:rsid w:val="00103001"/>
    <w:rsid w:val="00104202"/>
    <w:rsid w:val="00105019"/>
    <w:rsid w:val="0010574F"/>
    <w:rsid w:val="00105C50"/>
    <w:rsid w:val="00105D95"/>
    <w:rsid w:val="0010632D"/>
    <w:rsid w:val="00106382"/>
    <w:rsid w:val="001065E8"/>
    <w:rsid w:val="0010734E"/>
    <w:rsid w:val="001073FF"/>
    <w:rsid w:val="0010754E"/>
    <w:rsid w:val="0010756A"/>
    <w:rsid w:val="001077D0"/>
    <w:rsid w:val="0010787E"/>
    <w:rsid w:val="00107EE2"/>
    <w:rsid w:val="00110011"/>
    <w:rsid w:val="00110659"/>
    <w:rsid w:val="00110842"/>
    <w:rsid w:val="00110A53"/>
    <w:rsid w:val="00110D85"/>
    <w:rsid w:val="00110E0C"/>
    <w:rsid w:val="00110F3A"/>
    <w:rsid w:val="00111D84"/>
    <w:rsid w:val="001120B8"/>
    <w:rsid w:val="00112228"/>
    <w:rsid w:val="001129D2"/>
    <w:rsid w:val="00112A51"/>
    <w:rsid w:val="00112B01"/>
    <w:rsid w:val="00113015"/>
    <w:rsid w:val="0011329E"/>
    <w:rsid w:val="00113996"/>
    <w:rsid w:val="00113EEC"/>
    <w:rsid w:val="0011429F"/>
    <w:rsid w:val="001142D4"/>
    <w:rsid w:val="001142EB"/>
    <w:rsid w:val="00114320"/>
    <w:rsid w:val="001148EC"/>
    <w:rsid w:val="00114EE1"/>
    <w:rsid w:val="0011518F"/>
    <w:rsid w:val="00115329"/>
    <w:rsid w:val="0011545C"/>
    <w:rsid w:val="0011566E"/>
    <w:rsid w:val="001162D4"/>
    <w:rsid w:val="00116D18"/>
    <w:rsid w:val="00117B48"/>
    <w:rsid w:val="00117F9E"/>
    <w:rsid w:val="00120161"/>
    <w:rsid w:val="0012028C"/>
    <w:rsid w:val="0012129B"/>
    <w:rsid w:val="001218E5"/>
    <w:rsid w:val="00121907"/>
    <w:rsid w:val="0012271E"/>
    <w:rsid w:val="001227E8"/>
    <w:rsid w:val="00122B7B"/>
    <w:rsid w:val="001236DB"/>
    <w:rsid w:val="00123B00"/>
    <w:rsid w:val="00123DE4"/>
    <w:rsid w:val="00123ED6"/>
    <w:rsid w:val="001240A3"/>
    <w:rsid w:val="0012451D"/>
    <w:rsid w:val="001246BA"/>
    <w:rsid w:val="00125200"/>
    <w:rsid w:val="00125469"/>
    <w:rsid w:val="001259CC"/>
    <w:rsid w:val="00125A98"/>
    <w:rsid w:val="00126181"/>
    <w:rsid w:val="00126727"/>
    <w:rsid w:val="0012678E"/>
    <w:rsid w:val="00126835"/>
    <w:rsid w:val="0012684C"/>
    <w:rsid w:val="001268A0"/>
    <w:rsid w:val="00126E7C"/>
    <w:rsid w:val="00126FAD"/>
    <w:rsid w:val="001275E4"/>
    <w:rsid w:val="00127DFF"/>
    <w:rsid w:val="00130D89"/>
    <w:rsid w:val="00130F26"/>
    <w:rsid w:val="00131425"/>
    <w:rsid w:val="00131534"/>
    <w:rsid w:val="00131905"/>
    <w:rsid w:val="00131C66"/>
    <w:rsid w:val="00131C74"/>
    <w:rsid w:val="00132048"/>
    <w:rsid w:val="0013291D"/>
    <w:rsid w:val="00132965"/>
    <w:rsid w:val="001331D2"/>
    <w:rsid w:val="00133536"/>
    <w:rsid w:val="00133639"/>
    <w:rsid w:val="00133EC7"/>
    <w:rsid w:val="0013431C"/>
    <w:rsid w:val="00134520"/>
    <w:rsid w:val="00134EEF"/>
    <w:rsid w:val="00135B59"/>
    <w:rsid w:val="00135F4C"/>
    <w:rsid w:val="00136A61"/>
    <w:rsid w:val="0013725D"/>
    <w:rsid w:val="00137B87"/>
    <w:rsid w:val="001400F7"/>
    <w:rsid w:val="0014030E"/>
    <w:rsid w:val="00140849"/>
    <w:rsid w:val="0014085A"/>
    <w:rsid w:val="001409B6"/>
    <w:rsid w:val="00140C27"/>
    <w:rsid w:val="00140E21"/>
    <w:rsid w:val="0014197C"/>
    <w:rsid w:val="00141F46"/>
    <w:rsid w:val="001420A4"/>
    <w:rsid w:val="00142209"/>
    <w:rsid w:val="00142714"/>
    <w:rsid w:val="0014295A"/>
    <w:rsid w:val="00142F44"/>
    <w:rsid w:val="001432ED"/>
    <w:rsid w:val="00143F73"/>
    <w:rsid w:val="0014404C"/>
    <w:rsid w:val="001440A4"/>
    <w:rsid w:val="001442E3"/>
    <w:rsid w:val="00144673"/>
    <w:rsid w:val="001446AE"/>
    <w:rsid w:val="00144AA3"/>
    <w:rsid w:val="00144B29"/>
    <w:rsid w:val="0014500A"/>
    <w:rsid w:val="00145119"/>
    <w:rsid w:val="001452A4"/>
    <w:rsid w:val="00145C5E"/>
    <w:rsid w:val="00145DEB"/>
    <w:rsid w:val="00146487"/>
    <w:rsid w:val="0014671E"/>
    <w:rsid w:val="00146865"/>
    <w:rsid w:val="00147318"/>
    <w:rsid w:val="001473F7"/>
    <w:rsid w:val="00147890"/>
    <w:rsid w:val="00147DE2"/>
    <w:rsid w:val="00147FC3"/>
    <w:rsid w:val="00150BA5"/>
    <w:rsid w:val="0015126E"/>
    <w:rsid w:val="00151D3B"/>
    <w:rsid w:val="001524AD"/>
    <w:rsid w:val="0015258B"/>
    <w:rsid w:val="00152D67"/>
    <w:rsid w:val="00152F6A"/>
    <w:rsid w:val="001530D2"/>
    <w:rsid w:val="001531E4"/>
    <w:rsid w:val="001531E5"/>
    <w:rsid w:val="00153749"/>
    <w:rsid w:val="00153981"/>
    <w:rsid w:val="00153CD3"/>
    <w:rsid w:val="00154A9B"/>
    <w:rsid w:val="0015514D"/>
    <w:rsid w:val="0015566C"/>
    <w:rsid w:val="0015580A"/>
    <w:rsid w:val="00155D35"/>
    <w:rsid w:val="00155FFF"/>
    <w:rsid w:val="001564DA"/>
    <w:rsid w:val="00156A7B"/>
    <w:rsid w:val="00156B03"/>
    <w:rsid w:val="00156D62"/>
    <w:rsid w:val="00156EF7"/>
    <w:rsid w:val="001571A7"/>
    <w:rsid w:val="001575C8"/>
    <w:rsid w:val="00157C47"/>
    <w:rsid w:val="0016032E"/>
    <w:rsid w:val="00160652"/>
    <w:rsid w:val="001607BF"/>
    <w:rsid w:val="00160A92"/>
    <w:rsid w:val="001613B3"/>
    <w:rsid w:val="00161C69"/>
    <w:rsid w:val="00161CE6"/>
    <w:rsid w:val="00161E04"/>
    <w:rsid w:val="00161F55"/>
    <w:rsid w:val="001620F8"/>
    <w:rsid w:val="001629D1"/>
    <w:rsid w:val="00162D80"/>
    <w:rsid w:val="00163634"/>
    <w:rsid w:val="00163797"/>
    <w:rsid w:val="00163851"/>
    <w:rsid w:val="0016394E"/>
    <w:rsid w:val="00163B20"/>
    <w:rsid w:val="00164090"/>
    <w:rsid w:val="00164161"/>
    <w:rsid w:val="001641DB"/>
    <w:rsid w:val="00164201"/>
    <w:rsid w:val="00164803"/>
    <w:rsid w:val="00164996"/>
    <w:rsid w:val="00164AC9"/>
    <w:rsid w:val="00164D0B"/>
    <w:rsid w:val="001655D4"/>
    <w:rsid w:val="00165899"/>
    <w:rsid w:val="001658C1"/>
    <w:rsid w:val="001663EE"/>
    <w:rsid w:val="001663F8"/>
    <w:rsid w:val="00166544"/>
    <w:rsid w:val="00166596"/>
    <w:rsid w:val="00166BB9"/>
    <w:rsid w:val="00166EAE"/>
    <w:rsid w:val="00167266"/>
    <w:rsid w:val="00167922"/>
    <w:rsid w:val="00167E62"/>
    <w:rsid w:val="00167FEC"/>
    <w:rsid w:val="00170325"/>
    <w:rsid w:val="00170520"/>
    <w:rsid w:val="00170E4C"/>
    <w:rsid w:val="00170E63"/>
    <w:rsid w:val="00170F20"/>
    <w:rsid w:val="00170F28"/>
    <w:rsid w:val="00171263"/>
    <w:rsid w:val="0017170E"/>
    <w:rsid w:val="0017174E"/>
    <w:rsid w:val="00171B57"/>
    <w:rsid w:val="00171C00"/>
    <w:rsid w:val="00172329"/>
    <w:rsid w:val="00172437"/>
    <w:rsid w:val="001727D3"/>
    <w:rsid w:val="0017281D"/>
    <w:rsid w:val="00172A1D"/>
    <w:rsid w:val="00172A80"/>
    <w:rsid w:val="0017338B"/>
    <w:rsid w:val="0017359F"/>
    <w:rsid w:val="0017363D"/>
    <w:rsid w:val="00173678"/>
    <w:rsid w:val="0017375E"/>
    <w:rsid w:val="00173A6F"/>
    <w:rsid w:val="00173B93"/>
    <w:rsid w:val="00173ED6"/>
    <w:rsid w:val="00173F05"/>
    <w:rsid w:val="001748B8"/>
    <w:rsid w:val="001749BA"/>
    <w:rsid w:val="001749C0"/>
    <w:rsid w:val="00175636"/>
    <w:rsid w:val="00175823"/>
    <w:rsid w:val="0017617F"/>
    <w:rsid w:val="0017646C"/>
    <w:rsid w:val="001764B0"/>
    <w:rsid w:val="001765CC"/>
    <w:rsid w:val="0017692C"/>
    <w:rsid w:val="00176939"/>
    <w:rsid w:val="00176B55"/>
    <w:rsid w:val="00176D2F"/>
    <w:rsid w:val="00177203"/>
    <w:rsid w:val="00177698"/>
    <w:rsid w:val="00177AEF"/>
    <w:rsid w:val="00180459"/>
    <w:rsid w:val="00180570"/>
    <w:rsid w:val="001806BF"/>
    <w:rsid w:val="00180787"/>
    <w:rsid w:val="00180AE1"/>
    <w:rsid w:val="00180BC9"/>
    <w:rsid w:val="00180DBA"/>
    <w:rsid w:val="00180ED4"/>
    <w:rsid w:val="00181106"/>
    <w:rsid w:val="0018136D"/>
    <w:rsid w:val="001813E5"/>
    <w:rsid w:val="00181471"/>
    <w:rsid w:val="00181C46"/>
    <w:rsid w:val="00181F3A"/>
    <w:rsid w:val="00182067"/>
    <w:rsid w:val="0018267F"/>
    <w:rsid w:val="001827A1"/>
    <w:rsid w:val="00182E94"/>
    <w:rsid w:val="001835FE"/>
    <w:rsid w:val="00183F2E"/>
    <w:rsid w:val="00184C66"/>
    <w:rsid w:val="00184E5F"/>
    <w:rsid w:val="001857BA"/>
    <w:rsid w:val="00185B2A"/>
    <w:rsid w:val="00185C55"/>
    <w:rsid w:val="00185DA3"/>
    <w:rsid w:val="001862B5"/>
    <w:rsid w:val="001864B2"/>
    <w:rsid w:val="001868A0"/>
    <w:rsid w:val="00186C56"/>
    <w:rsid w:val="00186EA0"/>
    <w:rsid w:val="001878C3"/>
    <w:rsid w:val="001878EC"/>
    <w:rsid w:val="00187971"/>
    <w:rsid w:val="001901AA"/>
    <w:rsid w:val="0019026B"/>
    <w:rsid w:val="001907BA"/>
    <w:rsid w:val="00190E82"/>
    <w:rsid w:val="00191148"/>
    <w:rsid w:val="00191268"/>
    <w:rsid w:val="0019139F"/>
    <w:rsid w:val="00191608"/>
    <w:rsid w:val="001917A1"/>
    <w:rsid w:val="00191A16"/>
    <w:rsid w:val="001920E6"/>
    <w:rsid w:val="001929FB"/>
    <w:rsid w:val="00192AFB"/>
    <w:rsid w:val="00192BCA"/>
    <w:rsid w:val="00192D63"/>
    <w:rsid w:val="00193646"/>
    <w:rsid w:val="00193CE0"/>
    <w:rsid w:val="00193EB2"/>
    <w:rsid w:val="0019455E"/>
    <w:rsid w:val="00194E40"/>
    <w:rsid w:val="001951EC"/>
    <w:rsid w:val="0019599D"/>
    <w:rsid w:val="001959C8"/>
    <w:rsid w:val="00195C4B"/>
    <w:rsid w:val="00195D30"/>
    <w:rsid w:val="0019637B"/>
    <w:rsid w:val="00196751"/>
    <w:rsid w:val="0019693A"/>
    <w:rsid w:val="00196997"/>
    <w:rsid w:val="00196A06"/>
    <w:rsid w:val="00197246"/>
    <w:rsid w:val="001A00C1"/>
    <w:rsid w:val="001A03C6"/>
    <w:rsid w:val="001A0881"/>
    <w:rsid w:val="001A0994"/>
    <w:rsid w:val="001A12E3"/>
    <w:rsid w:val="001A1EBB"/>
    <w:rsid w:val="001A1F2E"/>
    <w:rsid w:val="001A244F"/>
    <w:rsid w:val="001A26F4"/>
    <w:rsid w:val="001A2785"/>
    <w:rsid w:val="001A2F29"/>
    <w:rsid w:val="001A3657"/>
    <w:rsid w:val="001A37E2"/>
    <w:rsid w:val="001A3AC7"/>
    <w:rsid w:val="001A3B35"/>
    <w:rsid w:val="001A3CD9"/>
    <w:rsid w:val="001A3DE1"/>
    <w:rsid w:val="001A4F07"/>
    <w:rsid w:val="001A5157"/>
    <w:rsid w:val="001A56D7"/>
    <w:rsid w:val="001A5799"/>
    <w:rsid w:val="001A5827"/>
    <w:rsid w:val="001A5921"/>
    <w:rsid w:val="001A5DA1"/>
    <w:rsid w:val="001A635F"/>
    <w:rsid w:val="001A65CD"/>
    <w:rsid w:val="001A665F"/>
    <w:rsid w:val="001A68E3"/>
    <w:rsid w:val="001A6917"/>
    <w:rsid w:val="001A6BB9"/>
    <w:rsid w:val="001A6D77"/>
    <w:rsid w:val="001A7101"/>
    <w:rsid w:val="001A734F"/>
    <w:rsid w:val="001A7792"/>
    <w:rsid w:val="001A7B55"/>
    <w:rsid w:val="001A7E24"/>
    <w:rsid w:val="001A7E7A"/>
    <w:rsid w:val="001B008F"/>
    <w:rsid w:val="001B1B4B"/>
    <w:rsid w:val="001B1F2C"/>
    <w:rsid w:val="001B2284"/>
    <w:rsid w:val="001B22A8"/>
    <w:rsid w:val="001B230F"/>
    <w:rsid w:val="001B23F9"/>
    <w:rsid w:val="001B2701"/>
    <w:rsid w:val="001B2E37"/>
    <w:rsid w:val="001B313D"/>
    <w:rsid w:val="001B3399"/>
    <w:rsid w:val="001B33E8"/>
    <w:rsid w:val="001B37AA"/>
    <w:rsid w:val="001B3888"/>
    <w:rsid w:val="001B39FE"/>
    <w:rsid w:val="001B3F9E"/>
    <w:rsid w:val="001B420B"/>
    <w:rsid w:val="001B4840"/>
    <w:rsid w:val="001B4C4B"/>
    <w:rsid w:val="001B4D63"/>
    <w:rsid w:val="001B555C"/>
    <w:rsid w:val="001B5561"/>
    <w:rsid w:val="001B5CBA"/>
    <w:rsid w:val="001B6096"/>
    <w:rsid w:val="001B6695"/>
    <w:rsid w:val="001B70AD"/>
    <w:rsid w:val="001B717E"/>
    <w:rsid w:val="001B72BE"/>
    <w:rsid w:val="001B7478"/>
    <w:rsid w:val="001B7936"/>
    <w:rsid w:val="001B7E99"/>
    <w:rsid w:val="001C01F3"/>
    <w:rsid w:val="001C02D2"/>
    <w:rsid w:val="001C0326"/>
    <w:rsid w:val="001C09E1"/>
    <w:rsid w:val="001C1C69"/>
    <w:rsid w:val="001C1ED0"/>
    <w:rsid w:val="001C1F2E"/>
    <w:rsid w:val="001C2066"/>
    <w:rsid w:val="001C22EC"/>
    <w:rsid w:val="001C29B2"/>
    <w:rsid w:val="001C2FD3"/>
    <w:rsid w:val="001C31EE"/>
    <w:rsid w:val="001C369D"/>
    <w:rsid w:val="001C397B"/>
    <w:rsid w:val="001C3997"/>
    <w:rsid w:val="001C3E15"/>
    <w:rsid w:val="001C3EA9"/>
    <w:rsid w:val="001C4152"/>
    <w:rsid w:val="001C49CC"/>
    <w:rsid w:val="001C5384"/>
    <w:rsid w:val="001C54C3"/>
    <w:rsid w:val="001C58F9"/>
    <w:rsid w:val="001C5CB8"/>
    <w:rsid w:val="001C5D3F"/>
    <w:rsid w:val="001C5D49"/>
    <w:rsid w:val="001C5FBC"/>
    <w:rsid w:val="001C669C"/>
    <w:rsid w:val="001C66F1"/>
    <w:rsid w:val="001C696D"/>
    <w:rsid w:val="001C6A5E"/>
    <w:rsid w:val="001C6B0F"/>
    <w:rsid w:val="001C7856"/>
    <w:rsid w:val="001C7B8C"/>
    <w:rsid w:val="001C7FA6"/>
    <w:rsid w:val="001D022B"/>
    <w:rsid w:val="001D03AE"/>
    <w:rsid w:val="001D043E"/>
    <w:rsid w:val="001D07AC"/>
    <w:rsid w:val="001D0931"/>
    <w:rsid w:val="001D0ACF"/>
    <w:rsid w:val="001D15B8"/>
    <w:rsid w:val="001D18E8"/>
    <w:rsid w:val="001D21B9"/>
    <w:rsid w:val="001D24D9"/>
    <w:rsid w:val="001D2C42"/>
    <w:rsid w:val="001D2D69"/>
    <w:rsid w:val="001D3162"/>
    <w:rsid w:val="001D35A9"/>
    <w:rsid w:val="001D3700"/>
    <w:rsid w:val="001D38EC"/>
    <w:rsid w:val="001D47B3"/>
    <w:rsid w:val="001D553B"/>
    <w:rsid w:val="001D6161"/>
    <w:rsid w:val="001D642E"/>
    <w:rsid w:val="001D7348"/>
    <w:rsid w:val="001D73B9"/>
    <w:rsid w:val="001D76C0"/>
    <w:rsid w:val="001D7D42"/>
    <w:rsid w:val="001E0255"/>
    <w:rsid w:val="001E0699"/>
    <w:rsid w:val="001E0DA4"/>
    <w:rsid w:val="001E0DF5"/>
    <w:rsid w:val="001E1186"/>
    <w:rsid w:val="001E132D"/>
    <w:rsid w:val="001E16EC"/>
    <w:rsid w:val="001E198E"/>
    <w:rsid w:val="001E21BD"/>
    <w:rsid w:val="001E22E5"/>
    <w:rsid w:val="001E240E"/>
    <w:rsid w:val="001E2650"/>
    <w:rsid w:val="001E2D26"/>
    <w:rsid w:val="001E33CC"/>
    <w:rsid w:val="001E35C9"/>
    <w:rsid w:val="001E370B"/>
    <w:rsid w:val="001E39AE"/>
    <w:rsid w:val="001E3EE2"/>
    <w:rsid w:val="001E41AB"/>
    <w:rsid w:val="001E4359"/>
    <w:rsid w:val="001E4ADC"/>
    <w:rsid w:val="001E5107"/>
    <w:rsid w:val="001E55CA"/>
    <w:rsid w:val="001E63AE"/>
    <w:rsid w:val="001E6770"/>
    <w:rsid w:val="001E7606"/>
    <w:rsid w:val="001E7D2A"/>
    <w:rsid w:val="001E7DC2"/>
    <w:rsid w:val="001E7F8E"/>
    <w:rsid w:val="001F03F9"/>
    <w:rsid w:val="001F0534"/>
    <w:rsid w:val="001F1483"/>
    <w:rsid w:val="001F14C2"/>
    <w:rsid w:val="001F1FEB"/>
    <w:rsid w:val="001F205F"/>
    <w:rsid w:val="001F267D"/>
    <w:rsid w:val="001F28B7"/>
    <w:rsid w:val="001F2B0F"/>
    <w:rsid w:val="001F34D8"/>
    <w:rsid w:val="001F3618"/>
    <w:rsid w:val="001F38DF"/>
    <w:rsid w:val="001F39DC"/>
    <w:rsid w:val="001F3EB3"/>
    <w:rsid w:val="001F46DF"/>
    <w:rsid w:val="001F4DE6"/>
    <w:rsid w:val="001F525F"/>
    <w:rsid w:val="001F5B24"/>
    <w:rsid w:val="001F628F"/>
    <w:rsid w:val="001F6616"/>
    <w:rsid w:val="001F6758"/>
    <w:rsid w:val="001F6AD3"/>
    <w:rsid w:val="001F6B5E"/>
    <w:rsid w:val="001F6E15"/>
    <w:rsid w:val="001F6E46"/>
    <w:rsid w:val="001F6E6F"/>
    <w:rsid w:val="001F6EB0"/>
    <w:rsid w:val="001F7055"/>
    <w:rsid w:val="001F70FB"/>
    <w:rsid w:val="001F733B"/>
    <w:rsid w:val="001F7397"/>
    <w:rsid w:val="001F7677"/>
    <w:rsid w:val="001F76AD"/>
    <w:rsid w:val="001F77A7"/>
    <w:rsid w:val="001F786F"/>
    <w:rsid w:val="00200844"/>
    <w:rsid w:val="00200C2F"/>
    <w:rsid w:val="00200DA5"/>
    <w:rsid w:val="00200DE6"/>
    <w:rsid w:val="002013E1"/>
    <w:rsid w:val="0020169F"/>
    <w:rsid w:val="0020188E"/>
    <w:rsid w:val="002018CF"/>
    <w:rsid w:val="00201B06"/>
    <w:rsid w:val="00201B1A"/>
    <w:rsid w:val="002020C4"/>
    <w:rsid w:val="00202D1B"/>
    <w:rsid w:val="00203638"/>
    <w:rsid w:val="00203E3F"/>
    <w:rsid w:val="00203FE2"/>
    <w:rsid w:val="0020424E"/>
    <w:rsid w:val="00204840"/>
    <w:rsid w:val="00204A5B"/>
    <w:rsid w:val="00204DBE"/>
    <w:rsid w:val="00204E7C"/>
    <w:rsid w:val="00205172"/>
    <w:rsid w:val="002052B1"/>
    <w:rsid w:val="002056E7"/>
    <w:rsid w:val="00205868"/>
    <w:rsid w:val="00205D53"/>
    <w:rsid w:val="00206805"/>
    <w:rsid w:val="0020691C"/>
    <w:rsid w:val="00206A59"/>
    <w:rsid w:val="00206D4E"/>
    <w:rsid w:val="00206F87"/>
    <w:rsid w:val="002073DA"/>
    <w:rsid w:val="0020766D"/>
    <w:rsid w:val="002079AD"/>
    <w:rsid w:val="00207EEB"/>
    <w:rsid w:val="00210233"/>
    <w:rsid w:val="0021024F"/>
    <w:rsid w:val="002102A7"/>
    <w:rsid w:val="00210678"/>
    <w:rsid w:val="002106B4"/>
    <w:rsid w:val="00210EB5"/>
    <w:rsid w:val="00210F52"/>
    <w:rsid w:val="00212053"/>
    <w:rsid w:val="0021265F"/>
    <w:rsid w:val="00212B61"/>
    <w:rsid w:val="002130B2"/>
    <w:rsid w:val="00214CE1"/>
    <w:rsid w:val="0021510B"/>
    <w:rsid w:val="00215AFD"/>
    <w:rsid w:val="00215BDE"/>
    <w:rsid w:val="00215E5C"/>
    <w:rsid w:val="002161BC"/>
    <w:rsid w:val="002161E8"/>
    <w:rsid w:val="002167EE"/>
    <w:rsid w:val="00216C41"/>
    <w:rsid w:val="002202C5"/>
    <w:rsid w:val="002206A5"/>
    <w:rsid w:val="0022111A"/>
    <w:rsid w:val="002215DF"/>
    <w:rsid w:val="00221831"/>
    <w:rsid w:val="002218FB"/>
    <w:rsid w:val="00221D77"/>
    <w:rsid w:val="002224BB"/>
    <w:rsid w:val="002224CA"/>
    <w:rsid w:val="00222529"/>
    <w:rsid w:val="00222877"/>
    <w:rsid w:val="00222B29"/>
    <w:rsid w:val="002232A9"/>
    <w:rsid w:val="002236D2"/>
    <w:rsid w:val="00223BAE"/>
    <w:rsid w:val="00224159"/>
    <w:rsid w:val="0022428F"/>
    <w:rsid w:val="0022451A"/>
    <w:rsid w:val="0022453C"/>
    <w:rsid w:val="00224B7B"/>
    <w:rsid w:val="00225009"/>
    <w:rsid w:val="002250D3"/>
    <w:rsid w:val="002252D0"/>
    <w:rsid w:val="0022577A"/>
    <w:rsid w:val="00225788"/>
    <w:rsid w:val="00225F7C"/>
    <w:rsid w:val="00226517"/>
    <w:rsid w:val="00226860"/>
    <w:rsid w:val="00227294"/>
    <w:rsid w:val="00227A7D"/>
    <w:rsid w:val="00227F78"/>
    <w:rsid w:val="002301B1"/>
    <w:rsid w:val="002301FC"/>
    <w:rsid w:val="00230456"/>
    <w:rsid w:val="00230A7F"/>
    <w:rsid w:val="00230C33"/>
    <w:rsid w:val="00230DB4"/>
    <w:rsid w:val="00230EDE"/>
    <w:rsid w:val="00230F14"/>
    <w:rsid w:val="00231489"/>
    <w:rsid w:val="00231867"/>
    <w:rsid w:val="00231D07"/>
    <w:rsid w:val="00231FA3"/>
    <w:rsid w:val="0023246E"/>
    <w:rsid w:val="00232476"/>
    <w:rsid w:val="00232A9D"/>
    <w:rsid w:val="00233092"/>
    <w:rsid w:val="00233561"/>
    <w:rsid w:val="0023377D"/>
    <w:rsid w:val="002338B7"/>
    <w:rsid w:val="00233E1D"/>
    <w:rsid w:val="002341F1"/>
    <w:rsid w:val="00234686"/>
    <w:rsid w:val="00234C87"/>
    <w:rsid w:val="002350D3"/>
    <w:rsid w:val="00235163"/>
    <w:rsid w:val="002351A1"/>
    <w:rsid w:val="0023526B"/>
    <w:rsid w:val="00235DA6"/>
    <w:rsid w:val="00235EB6"/>
    <w:rsid w:val="00236C33"/>
    <w:rsid w:val="00236EDC"/>
    <w:rsid w:val="002370BD"/>
    <w:rsid w:val="002378DD"/>
    <w:rsid w:val="00237C34"/>
    <w:rsid w:val="00240429"/>
    <w:rsid w:val="0024058E"/>
    <w:rsid w:val="00240A09"/>
    <w:rsid w:val="00240E66"/>
    <w:rsid w:val="00241994"/>
    <w:rsid w:val="00241AED"/>
    <w:rsid w:val="00241C12"/>
    <w:rsid w:val="002429C1"/>
    <w:rsid w:val="00242AA5"/>
    <w:rsid w:val="00242AEC"/>
    <w:rsid w:val="00242F23"/>
    <w:rsid w:val="00243122"/>
    <w:rsid w:val="002438A9"/>
    <w:rsid w:val="00243AA8"/>
    <w:rsid w:val="00243E14"/>
    <w:rsid w:val="00243E93"/>
    <w:rsid w:val="0024443D"/>
    <w:rsid w:val="00244568"/>
    <w:rsid w:val="00244618"/>
    <w:rsid w:val="00244773"/>
    <w:rsid w:val="00244C0F"/>
    <w:rsid w:val="00244C9C"/>
    <w:rsid w:val="00244EAA"/>
    <w:rsid w:val="00244F06"/>
    <w:rsid w:val="0024504C"/>
    <w:rsid w:val="0024562E"/>
    <w:rsid w:val="002456DD"/>
    <w:rsid w:val="002457C0"/>
    <w:rsid w:val="00245D3F"/>
    <w:rsid w:val="0024632D"/>
    <w:rsid w:val="00246449"/>
    <w:rsid w:val="00246BCB"/>
    <w:rsid w:val="00246E67"/>
    <w:rsid w:val="00246E6D"/>
    <w:rsid w:val="00247113"/>
    <w:rsid w:val="002473DA"/>
    <w:rsid w:val="00247629"/>
    <w:rsid w:val="00247933"/>
    <w:rsid w:val="002505CB"/>
    <w:rsid w:val="00250F49"/>
    <w:rsid w:val="00250F8B"/>
    <w:rsid w:val="0025122C"/>
    <w:rsid w:val="00251239"/>
    <w:rsid w:val="0025128E"/>
    <w:rsid w:val="00251E1E"/>
    <w:rsid w:val="00251F9F"/>
    <w:rsid w:val="00251FDB"/>
    <w:rsid w:val="0025206C"/>
    <w:rsid w:val="00252337"/>
    <w:rsid w:val="0025302E"/>
    <w:rsid w:val="0025357D"/>
    <w:rsid w:val="00253719"/>
    <w:rsid w:val="0025373F"/>
    <w:rsid w:val="00253986"/>
    <w:rsid w:val="00253F76"/>
    <w:rsid w:val="00254D31"/>
    <w:rsid w:val="00255065"/>
    <w:rsid w:val="00255BDC"/>
    <w:rsid w:val="00255CA6"/>
    <w:rsid w:val="002560D1"/>
    <w:rsid w:val="00256A90"/>
    <w:rsid w:val="00257101"/>
    <w:rsid w:val="0025745F"/>
    <w:rsid w:val="00257846"/>
    <w:rsid w:val="00257B37"/>
    <w:rsid w:val="00257B70"/>
    <w:rsid w:val="00257C03"/>
    <w:rsid w:val="00257D14"/>
    <w:rsid w:val="00257FEF"/>
    <w:rsid w:val="0026055F"/>
    <w:rsid w:val="002605C2"/>
    <w:rsid w:val="0026065B"/>
    <w:rsid w:val="00260749"/>
    <w:rsid w:val="00260A50"/>
    <w:rsid w:val="00260B7C"/>
    <w:rsid w:val="002619B6"/>
    <w:rsid w:val="00261A41"/>
    <w:rsid w:val="00261ABE"/>
    <w:rsid w:val="0026206B"/>
    <w:rsid w:val="00262C25"/>
    <w:rsid w:val="00263761"/>
    <w:rsid w:val="00263860"/>
    <w:rsid w:val="00263A97"/>
    <w:rsid w:val="00263CE2"/>
    <w:rsid w:val="00264302"/>
    <w:rsid w:val="002643F2"/>
    <w:rsid w:val="0026460D"/>
    <w:rsid w:val="00264962"/>
    <w:rsid w:val="00264B5C"/>
    <w:rsid w:val="00265625"/>
    <w:rsid w:val="0026568C"/>
    <w:rsid w:val="00265BF6"/>
    <w:rsid w:val="002660F7"/>
    <w:rsid w:val="00266126"/>
    <w:rsid w:val="00266964"/>
    <w:rsid w:val="0026699B"/>
    <w:rsid w:val="00266BB0"/>
    <w:rsid w:val="00266BFA"/>
    <w:rsid w:val="00266F5D"/>
    <w:rsid w:val="00266FC7"/>
    <w:rsid w:val="00267180"/>
    <w:rsid w:val="00267383"/>
    <w:rsid w:val="002673B5"/>
    <w:rsid w:val="00267811"/>
    <w:rsid w:val="00267821"/>
    <w:rsid w:val="002679FF"/>
    <w:rsid w:val="00267DD3"/>
    <w:rsid w:val="002700A0"/>
    <w:rsid w:val="0027095A"/>
    <w:rsid w:val="002709B4"/>
    <w:rsid w:val="002711FC"/>
    <w:rsid w:val="002713A6"/>
    <w:rsid w:val="002715F6"/>
    <w:rsid w:val="00271798"/>
    <w:rsid w:val="00271AF5"/>
    <w:rsid w:val="00272046"/>
    <w:rsid w:val="0027255E"/>
    <w:rsid w:val="002727C2"/>
    <w:rsid w:val="00272CD3"/>
    <w:rsid w:val="00272E09"/>
    <w:rsid w:val="0027303C"/>
    <w:rsid w:val="00273341"/>
    <w:rsid w:val="0027458E"/>
    <w:rsid w:val="00275109"/>
    <w:rsid w:val="00275250"/>
    <w:rsid w:val="002752F3"/>
    <w:rsid w:val="0027550E"/>
    <w:rsid w:val="00275831"/>
    <w:rsid w:val="00275854"/>
    <w:rsid w:val="00275C9E"/>
    <w:rsid w:val="00275CBB"/>
    <w:rsid w:val="00275CE0"/>
    <w:rsid w:val="00275D43"/>
    <w:rsid w:val="00275E47"/>
    <w:rsid w:val="00275FDD"/>
    <w:rsid w:val="002764FA"/>
    <w:rsid w:val="002768EC"/>
    <w:rsid w:val="0027712B"/>
    <w:rsid w:val="00277F47"/>
    <w:rsid w:val="002802FA"/>
    <w:rsid w:val="002808CD"/>
    <w:rsid w:val="00281251"/>
    <w:rsid w:val="00281505"/>
    <w:rsid w:val="0028178A"/>
    <w:rsid w:val="00281BA9"/>
    <w:rsid w:val="00281EEA"/>
    <w:rsid w:val="00282439"/>
    <w:rsid w:val="002828AF"/>
    <w:rsid w:val="0028382A"/>
    <w:rsid w:val="00283AF5"/>
    <w:rsid w:val="002842CF"/>
    <w:rsid w:val="00284425"/>
    <w:rsid w:val="002845D5"/>
    <w:rsid w:val="00284858"/>
    <w:rsid w:val="00285312"/>
    <w:rsid w:val="002858E0"/>
    <w:rsid w:val="002859FD"/>
    <w:rsid w:val="00285B5A"/>
    <w:rsid w:val="00285DB5"/>
    <w:rsid w:val="002866D8"/>
    <w:rsid w:val="00286BC8"/>
    <w:rsid w:val="00286EFA"/>
    <w:rsid w:val="0028709C"/>
    <w:rsid w:val="0028721E"/>
    <w:rsid w:val="002875A5"/>
    <w:rsid w:val="00287C54"/>
    <w:rsid w:val="00287EE1"/>
    <w:rsid w:val="002904BE"/>
    <w:rsid w:val="0029085B"/>
    <w:rsid w:val="0029158C"/>
    <w:rsid w:val="00291B18"/>
    <w:rsid w:val="00292470"/>
    <w:rsid w:val="00292C2E"/>
    <w:rsid w:val="00292C79"/>
    <w:rsid w:val="00292E3E"/>
    <w:rsid w:val="002936AD"/>
    <w:rsid w:val="00293705"/>
    <w:rsid w:val="002944C9"/>
    <w:rsid w:val="00294C74"/>
    <w:rsid w:val="00294F1C"/>
    <w:rsid w:val="002952D8"/>
    <w:rsid w:val="002954C0"/>
    <w:rsid w:val="002959B8"/>
    <w:rsid w:val="0029610D"/>
    <w:rsid w:val="002964D5"/>
    <w:rsid w:val="002969D1"/>
    <w:rsid w:val="00296A01"/>
    <w:rsid w:val="00296C36"/>
    <w:rsid w:val="00296C7F"/>
    <w:rsid w:val="002976D3"/>
    <w:rsid w:val="002A02AE"/>
    <w:rsid w:val="002A0369"/>
    <w:rsid w:val="002A050D"/>
    <w:rsid w:val="002A0B3F"/>
    <w:rsid w:val="002A10C1"/>
    <w:rsid w:val="002A122B"/>
    <w:rsid w:val="002A12C3"/>
    <w:rsid w:val="002A1C1C"/>
    <w:rsid w:val="002A1E5C"/>
    <w:rsid w:val="002A1F89"/>
    <w:rsid w:val="002A2790"/>
    <w:rsid w:val="002A2955"/>
    <w:rsid w:val="002A2990"/>
    <w:rsid w:val="002A2CAE"/>
    <w:rsid w:val="002A39ED"/>
    <w:rsid w:val="002A3D4E"/>
    <w:rsid w:val="002A42E1"/>
    <w:rsid w:val="002A4473"/>
    <w:rsid w:val="002A469F"/>
    <w:rsid w:val="002A4B30"/>
    <w:rsid w:val="002A516E"/>
    <w:rsid w:val="002A56CD"/>
    <w:rsid w:val="002A5C1D"/>
    <w:rsid w:val="002A612E"/>
    <w:rsid w:val="002A6B67"/>
    <w:rsid w:val="002A6D0F"/>
    <w:rsid w:val="002A6E75"/>
    <w:rsid w:val="002A7093"/>
    <w:rsid w:val="002A726F"/>
    <w:rsid w:val="002A765C"/>
    <w:rsid w:val="002A771A"/>
    <w:rsid w:val="002A771E"/>
    <w:rsid w:val="002A7D7F"/>
    <w:rsid w:val="002A7DA9"/>
    <w:rsid w:val="002A7DDB"/>
    <w:rsid w:val="002B00FA"/>
    <w:rsid w:val="002B04B9"/>
    <w:rsid w:val="002B083F"/>
    <w:rsid w:val="002B097E"/>
    <w:rsid w:val="002B099E"/>
    <w:rsid w:val="002B0A57"/>
    <w:rsid w:val="002B0B88"/>
    <w:rsid w:val="002B1070"/>
    <w:rsid w:val="002B10C6"/>
    <w:rsid w:val="002B1341"/>
    <w:rsid w:val="002B16D1"/>
    <w:rsid w:val="002B1AC2"/>
    <w:rsid w:val="002B1B93"/>
    <w:rsid w:val="002B1C5E"/>
    <w:rsid w:val="002B223D"/>
    <w:rsid w:val="002B2F17"/>
    <w:rsid w:val="002B33BA"/>
    <w:rsid w:val="002B36F1"/>
    <w:rsid w:val="002B3759"/>
    <w:rsid w:val="002B431E"/>
    <w:rsid w:val="002B4443"/>
    <w:rsid w:val="002B4675"/>
    <w:rsid w:val="002B482F"/>
    <w:rsid w:val="002B4DD2"/>
    <w:rsid w:val="002B4E46"/>
    <w:rsid w:val="002B5FD8"/>
    <w:rsid w:val="002B6078"/>
    <w:rsid w:val="002B6123"/>
    <w:rsid w:val="002B6787"/>
    <w:rsid w:val="002B6814"/>
    <w:rsid w:val="002B6D2A"/>
    <w:rsid w:val="002B6D56"/>
    <w:rsid w:val="002B6D7F"/>
    <w:rsid w:val="002B715B"/>
    <w:rsid w:val="002B7DA7"/>
    <w:rsid w:val="002C0080"/>
    <w:rsid w:val="002C018D"/>
    <w:rsid w:val="002C0368"/>
    <w:rsid w:val="002C0630"/>
    <w:rsid w:val="002C09AD"/>
    <w:rsid w:val="002C0C64"/>
    <w:rsid w:val="002C14DE"/>
    <w:rsid w:val="002C1633"/>
    <w:rsid w:val="002C197C"/>
    <w:rsid w:val="002C26A6"/>
    <w:rsid w:val="002C29B3"/>
    <w:rsid w:val="002C2B45"/>
    <w:rsid w:val="002C2DA2"/>
    <w:rsid w:val="002C302E"/>
    <w:rsid w:val="002C34CA"/>
    <w:rsid w:val="002C37AD"/>
    <w:rsid w:val="002C3C8A"/>
    <w:rsid w:val="002C456A"/>
    <w:rsid w:val="002C4A11"/>
    <w:rsid w:val="002C4C83"/>
    <w:rsid w:val="002C4FF1"/>
    <w:rsid w:val="002C508E"/>
    <w:rsid w:val="002C5AED"/>
    <w:rsid w:val="002C5C5C"/>
    <w:rsid w:val="002C5F93"/>
    <w:rsid w:val="002C617F"/>
    <w:rsid w:val="002C65E6"/>
    <w:rsid w:val="002C6745"/>
    <w:rsid w:val="002C6A34"/>
    <w:rsid w:val="002C71D9"/>
    <w:rsid w:val="002C7613"/>
    <w:rsid w:val="002C7989"/>
    <w:rsid w:val="002D0A56"/>
    <w:rsid w:val="002D0CEC"/>
    <w:rsid w:val="002D0FB2"/>
    <w:rsid w:val="002D1040"/>
    <w:rsid w:val="002D13E4"/>
    <w:rsid w:val="002D14B1"/>
    <w:rsid w:val="002D1704"/>
    <w:rsid w:val="002D199D"/>
    <w:rsid w:val="002D2B89"/>
    <w:rsid w:val="002D2BB4"/>
    <w:rsid w:val="002D3344"/>
    <w:rsid w:val="002D3901"/>
    <w:rsid w:val="002D3D36"/>
    <w:rsid w:val="002D4195"/>
    <w:rsid w:val="002D4BF6"/>
    <w:rsid w:val="002D5655"/>
    <w:rsid w:val="002D59E5"/>
    <w:rsid w:val="002D5B0F"/>
    <w:rsid w:val="002D690B"/>
    <w:rsid w:val="002D691B"/>
    <w:rsid w:val="002D6A33"/>
    <w:rsid w:val="002D6E54"/>
    <w:rsid w:val="002D6E72"/>
    <w:rsid w:val="002D6F5F"/>
    <w:rsid w:val="002D6FFA"/>
    <w:rsid w:val="002D7564"/>
    <w:rsid w:val="002D78DD"/>
    <w:rsid w:val="002D79AE"/>
    <w:rsid w:val="002E023D"/>
    <w:rsid w:val="002E0283"/>
    <w:rsid w:val="002E071C"/>
    <w:rsid w:val="002E0874"/>
    <w:rsid w:val="002E0D9E"/>
    <w:rsid w:val="002E15AA"/>
    <w:rsid w:val="002E1AE6"/>
    <w:rsid w:val="002E1CA1"/>
    <w:rsid w:val="002E2095"/>
    <w:rsid w:val="002E246D"/>
    <w:rsid w:val="002E268D"/>
    <w:rsid w:val="002E2729"/>
    <w:rsid w:val="002E27F6"/>
    <w:rsid w:val="002E2838"/>
    <w:rsid w:val="002E3705"/>
    <w:rsid w:val="002E40DD"/>
    <w:rsid w:val="002E4197"/>
    <w:rsid w:val="002E42F0"/>
    <w:rsid w:val="002E432C"/>
    <w:rsid w:val="002E4556"/>
    <w:rsid w:val="002E493F"/>
    <w:rsid w:val="002E4C9B"/>
    <w:rsid w:val="002E4E0F"/>
    <w:rsid w:val="002E4E87"/>
    <w:rsid w:val="002E5528"/>
    <w:rsid w:val="002E564C"/>
    <w:rsid w:val="002E58EB"/>
    <w:rsid w:val="002E599B"/>
    <w:rsid w:val="002E5C77"/>
    <w:rsid w:val="002E6047"/>
    <w:rsid w:val="002E6448"/>
    <w:rsid w:val="002E672C"/>
    <w:rsid w:val="002E69A2"/>
    <w:rsid w:val="002E72F6"/>
    <w:rsid w:val="002E74E6"/>
    <w:rsid w:val="002E790C"/>
    <w:rsid w:val="002E7DF5"/>
    <w:rsid w:val="002F0D91"/>
    <w:rsid w:val="002F0EDD"/>
    <w:rsid w:val="002F11E2"/>
    <w:rsid w:val="002F11F4"/>
    <w:rsid w:val="002F192C"/>
    <w:rsid w:val="002F198D"/>
    <w:rsid w:val="002F1BF8"/>
    <w:rsid w:val="002F1CBB"/>
    <w:rsid w:val="002F1FC5"/>
    <w:rsid w:val="002F227C"/>
    <w:rsid w:val="002F2309"/>
    <w:rsid w:val="002F2355"/>
    <w:rsid w:val="002F2403"/>
    <w:rsid w:val="002F2464"/>
    <w:rsid w:val="002F2A7F"/>
    <w:rsid w:val="002F2B64"/>
    <w:rsid w:val="002F334F"/>
    <w:rsid w:val="002F344B"/>
    <w:rsid w:val="002F35D6"/>
    <w:rsid w:val="002F5161"/>
    <w:rsid w:val="002F5460"/>
    <w:rsid w:val="002F5461"/>
    <w:rsid w:val="002F59F8"/>
    <w:rsid w:val="002F6596"/>
    <w:rsid w:val="002F676E"/>
    <w:rsid w:val="002F6DCE"/>
    <w:rsid w:val="002F6E18"/>
    <w:rsid w:val="002F7682"/>
    <w:rsid w:val="002F7BCC"/>
    <w:rsid w:val="002F7E6F"/>
    <w:rsid w:val="0030003E"/>
    <w:rsid w:val="00300233"/>
    <w:rsid w:val="00301163"/>
    <w:rsid w:val="003016EC"/>
    <w:rsid w:val="003017ED"/>
    <w:rsid w:val="003018D1"/>
    <w:rsid w:val="00301E95"/>
    <w:rsid w:val="00301F58"/>
    <w:rsid w:val="003025B5"/>
    <w:rsid w:val="00302744"/>
    <w:rsid w:val="00303296"/>
    <w:rsid w:val="0030364C"/>
    <w:rsid w:val="003038C9"/>
    <w:rsid w:val="00304608"/>
    <w:rsid w:val="00304A9D"/>
    <w:rsid w:val="00304AE8"/>
    <w:rsid w:val="0030543C"/>
    <w:rsid w:val="003056AF"/>
    <w:rsid w:val="00305A71"/>
    <w:rsid w:val="0030626D"/>
    <w:rsid w:val="0030693A"/>
    <w:rsid w:val="00306A93"/>
    <w:rsid w:val="00306BE6"/>
    <w:rsid w:val="00306C33"/>
    <w:rsid w:val="00307155"/>
    <w:rsid w:val="0030783D"/>
    <w:rsid w:val="003079A0"/>
    <w:rsid w:val="00307B9B"/>
    <w:rsid w:val="00307C73"/>
    <w:rsid w:val="00310A17"/>
    <w:rsid w:val="00310C29"/>
    <w:rsid w:val="00310D0F"/>
    <w:rsid w:val="00310EEB"/>
    <w:rsid w:val="0031113C"/>
    <w:rsid w:val="00311145"/>
    <w:rsid w:val="00311205"/>
    <w:rsid w:val="00311237"/>
    <w:rsid w:val="0031165E"/>
    <w:rsid w:val="00311BA8"/>
    <w:rsid w:val="00311CB0"/>
    <w:rsid w:val="00311D02"/>
    <w:rsid w:val="00311FEF"/>
    <w:rsid w:val="0031229A"/>
    <w:rsid w:val="003126FA"/>
    <w:rsid w:val="00312C1A"/>
    <w:rsid w:val="00312DC5"/>
    <w:rsid w:val="00313041"/>
    <w:rsid w:val="00313123"/>
    <w:rsid w:val="0031316D"/>
    <w:rsid w:val="0031373C"/>
    <w:rsid w:val="00313835"/>
    <w:rsid w:val="00313ADC"/>
    <w:rsid w:val="003140F3"/>
    <w:rsid w:val="00314153"/>
    <w:rsid w:val="00314566"/>
    <w:rsid w:val="0031521D"/>
    <w:rsid w:val="003152AC"/>
    <w:rsid w:val="00315887"/>
    <w:rsid w:val="00315D11"/>
    <w:rsid w:val="003162CD"/>
    <w:rsid w:val="00316907"/>
    <w:rsid w:val="00316B64"/>
    <w:rsid w:val="00317880"/>
    <w:rsid w:val="003201D2"/>
    <w:rsid w:val="003206B6"/>
    <w:rsid w:val="003208E6"/>
    <w:rsid w:val="00320D9F"/>
    <w:rsid w:val="0032124E"/>
    <w:rsid w:val="003216D4"/>
    <w:rsid w:val="00321CBD"/>
    <w:rsid w:val="00321D18"/>
    <w:rsid w:val="00321F10"/>
    <w:rsid w:val="00322349"/>
    <w:rsid w:val="00322C4E"/>
    <w:rsid w:val="00323204"/>
    <w:rsid w:val="003232D1"/>
    <w:rsid w:val="00323966"/>
    <w:rsid w:val="00323C39"/>
    <w:rsid w:val="0032414D"/>
    <w:rsid w:val="00324175"/>
    <w:rsid w:val="00324261"/>
    <w:rsid w:val="00324C74"/>
    <w:rsid w:val="00324DC4"/>
    <w:rsid w:val="00324E91"/>
    <w:rsid w:val="00324F92"/>
    <w:rsid w:val="003254AA"/>
    <w:rsid w:val="00325C03"/>
    <w:rsid w:val="00325E24"/>
    <w:rsid w:val="00326214"/>
    <w:rsid w:val="00326355"/>
    <w:rsid w:val="0032669A"/>
    <w:rsid w:val="00326D42"/>
    <w:rsid w:val="00326FC1"/>
    <w:rsid w:val="0032714D"/>
    <w:rsid w:val="003271B4"/>
    <w:rsid w:val="003274A7"/>
    <w:rsid w:val="00327644"/>
    <w:rsid w:val="0033116E"/>
    <w:rsid w:val="00331604"/>
    <w:rsid w:val="00332140"/>
    <w:rsid w:val="003324FA"/>
    <w:rsid w:val="00332B8B"/>
    <w:rsid w:val="003333D6"/>
    <w:rsid w:val="003334B2"/>
    <w:rsid w:val="003338AC"/>
    <w:rsid w:val="003344A3"/>
    <w:rsid w:val="00335054"/>
    <w:rsid w:val="003353FE"/>
    <w:rsid w:val="003354D9"/>
    <w:rsid w:val="00335683"/>
    <w:rsid w:val="00335748"/>
    <w:rsid w:val="00336534"/>
    <w:rsid w:val="0033668A"/>
    <w:rsid w:val="00336939"/>
    <w:rsid w:val="003369EA"/>
    <w:rsid w:val="00336B4B"/>
    <w:rsid w:val="00336EE3"/>
    <w:rsid w:val="00337687"/>
    <w:rsid w:val="003379C7"/>
    <w:rsid w:val="00337C14"/>
    <w:rsid w:val="00337D57"/>
    <w:rsid w:val="00337E75"/>
    <w:rsid w:val="003408C3"/>
    <w:rsid w:val="00340DD3"/>
    <w:rsid w:val="00341665"/>
    <w:rsid w:val="003418A4"/>
    <w:rsid w:val="00341C2B"/>
    <w:rsid w:val="0034216B"/>
    <w:rsid w:val="00342284"/>
    <w:rsid w:val="00342758"/>
    <w:rsid w:val="00342AAE"/>
    <w:rsid w:val="00342E81"/>
    <w:rsid w:val="003434BA"/>
    <w:rsid w:val="003436A3"/>
    <w:rsid w:val="00343719"/>
    <w:rsid w:val="0034377E"/>
    <w:rsid w:val="00343907"/>
    <w:rsid w:val="00343923"/>
    <w:rsid w:val="00343A58"/>
    <w:rsid w:val="0034430E"/>
    <w:rsid w:val="00344340"/>
    <w:rsid w:val="003445A7"/>
    <w:rsid w:val="003445A9"/>
    <w:rsid w:val="00344647"/>
    <w:rsid w:val="0034480F"/>
    <w:rsid w:val="0034488C"/>
    <w:rsid w:val="00344A54"/>
    <w:rsid w:val="003451AD"/>
    <w:rsid w:val="003454CE"/>
    <w:rsid w:val="003459E0"/>
    <w:rsid w:val="00345C27"/>
    <w:rsid w:val="00345CEB"/>
    <w:rsid w:val="00345EAE"/>
    <w:rsid w:val="00346001"/>
    <w:rsid w:val="003460B2"/>
    <w:rsid w:val="003461AA"/>
    <w:rsid w:val="003463DB"/>
    <w:rsid w:val="003467E2"/>
    <w:rsid w:val="00346F51"/>
    <w:rsid w:val="0035093C"/>
    <w:rsid w:val="00350BCF"/>
    <w:rsid w:val="00351025"/>
    <w:rsid w:val="00351198"/>
    <w:rsid w:val="0035162A"/>
    <w:rsid w:val="00351A35"/>
    <w:rsid w:val="00351BE5"/>
    <w:rsid w:val="00351D18"/>
    <w:rsid w:val="0035215C"/>
    <w:rsid w:val="00352A60"/>
    <w:rsid w:val="00352B0D"/>
    <w:rsid w:val="00352EAA"/>
    <w:rsid w:val="00353518"/>
    <w:rsid w:val="00353CE9"/>
    <w:rsid w:val="00353E4B"/>
    <w:rsid w:val="0035416A"/>
    <w:rsid w:val="0035457A"/>
    <w:rsid w:val="0035494B"/>
    <w:rsid w:val="00354B5E"/>
    <w:rsid w:val="00354C01"/>
    <w:rsid w:val="00354C3A"/>
    <w:rsid w:val="00355099"/>
    <w:rsid w:val="00355565"/>
    <w:rsid w:val="003556B3"/>
    <w:rsid w:val="0035582B"/>
    <w:rsid w:val="00355B18"/>
    <w:rsid w:val="003566BE"/>
    <w:rsid w:val="003568DB"/>
    <w:rsid w:val="00357078"/>
    <w:rsid w:val="00357594"/>
    <w:rsid w:val="003575A8"/>
    <w:rsid w:val="003576E9"/>
    <w:rsid w:val="00357BF2"/>
    <w:rsid w:val="00357DAF"/>
    <w:rsid w:val="00357F1A"/>
    <w:rsid w:val="0036149C"/>
    <w:rsid w:val="003614DF"/>
    <w:rsid w:val="0036221B"/>
    <w:rsid w:val="003626A1"/>
    <w:rsid w:val="0036307C"/>
    <w:rsid w:val="00363210"/>
    <w:rsid w:val="00363258"/>
    <w:rsid w:val="0036337D"/>
    <w:rsid w:val="00363AEC"/>
    <w:rsid w:val="00363EB1"/>
    <w:rsid w:val="00365165"/>
    <w:rsid w:val="003651A2"/>
    <w:rsid w:val="0036547A"/>
    <w:rsid w:val="003654E1"/>
    <w:rsid w:val="00365D2B"/>
    <w:rsid w:val="00366066"/>
    <w:rsid w:val="0036627B"/>
    <w:rsid w:val="003668ED"/>
    <w:rsid w:val="003670D9"/>
    <w:rsid w:val="00367CE4"/>
    <w:rsid w:val="00367E85"/>
    <w:rsid w:val="0037018A"/>
    <w:rsid w:val="003701F7"/>
    <w:rsid w:val="003703F6"/>
    <w:rsid w:val="0037046A"/>
    <w:rsid w:val="00370D0B"/>
    <w:rsid w:val="00371632"/>
    <w:rsid w:val="00371E6F"/>
    <w:rsid w:val="0037204A"/>
    <w:rsid w:val="00372600"/>
    <w:rsid w:val="00372C0F"/>
    <w:rsid w:val="00372D16"/>
    <w:rsid w:val="003730F6"/>
    <w:rsid w:val="003733BB"/>
    <w:rsid w:val="003734A9"/>
    <w:rsid w:val="003738D1"/>
    <w:rsid w:val="0037394D"/>
    <w:rsid w:val="00373B14"/>
    <w:rsid w:val="00373BFF"/>
    <w:rsid w:val="00373DCC"/>
    <w:rsid w:val="003749E8"/>
    <w:rsid w:val="00374AB9"/>
    <w:rsid w:val="00374DDC"/>
    <w:rsid w:val="00374F1C"/>
    <w:rsid w:val="003751CF"/>
    <w:rsid w:val="00375623"/>
    <w:rsid w:val="003757C3"/>
    <w:rsid w:val="00375C83"/>
    <w:rsid w:val="00375DFA"/>
    <w:rsid w:val="00375EEE"/>
    <w:rsid w:val="00375EFA"/>
    <w:rsid w:val="00375F81"/>
    <w:rsid w:val="00375FAB"/>
    <w:rsid w:val="0037638E"/>
    <w:rsid w:val="00376509"/>
    <w:rsid w:val="00376530"/>
    <w:rsid w:val="003768D3"/>
    <w:rsid w:val="00376A80"/>
    <w:rsid w:val="00376B64"/>
    <w:rsid w:val="00377CDB"/>
    <w:rsid w:val="00377F6D"/>
    <w:rsid w:val="00380017"/>
    <w:rsid w:val="00380DE3"/>
    <w:rsid w:val="00380FAE"/>
    <w:rsid w:val="003810BC"/>
    <w:rsid w:val="0038144E"/>
    <w:rsid w:val="00381967"/>
    <w:rsid w:val="00381E64"/>
    <w:rsid w:val="00381FB2"/>
    <w:rsid w:val="003820FB"/>
    <w:rsid w:val="0038272F"/>
    <w:rsid w:val="00382830"/>
    <w:rsid w:val="00382D09"/>
    <w:rsid w:val="003832A7"/>
    <w:rsid w:val="00383A55"/>
    <w:rsid w:val="00384053"/>
    <w:rsid w:val="00384081"/>
    <w:rsid w:val="003841A8"/>
    <w:rsid w:val="003849B3"/>
    <w:rsid w:val="003855E8"/>
    <w:rsid w:val="00385B5D"/>
    <w:rsid w:val="00385CC8"/>
    <w:rsid w:val="00385E36"/>
    <w:rsid w:val="00385EFF"/>
    <w:rsid w:val="0038608B"/>
    <w:rsid w:val="003860AD"/>
    <w:rsid w:val="003862B3"/>
    <w:rsid w:val="0038657D"/>
    <w:rsid w:val="00387654"/>
    <w:rsid w:val="00387B56"/>
    <w:rsid w:val="00387E2E"/>
    <w:rsid w:val="003905AD"/>
    <w:rsid w:val="003908E7"/>
    <w:rsid w:val="00390C05"/>
    <w:rsid w:val="00390D44"/>
    <w:rsid w:val="00390EA1"/>
    <w:rsid w:val="00391168"/>
    <w:rsid w:val="00391332"/>
    <w:rsid w:val="00391549"/>
    <w:rsid w:val="003915C3"/>
    <w:rsid w:val="00391964"/>
    <w:rsid w:val="00392202"/>
    <w:rsid w:val="0039237C"/>
    <w:rsid w:val="00393397"/>
    <w:rsid w:val="003933DD"/>
    <w:rsid w:val="00393C1F"/>
    <w:rsid w:val="00393CA0"/>
    <w:rsid w:val="00393DA6"/>
    <w:rsid w:val="00393E9B"/>
    <w:rsid w:val="00394241"/>
    <w:rsid w:val="00394C15"/>
    <w:rsid w:val="00394C54"/>
    <w:rsid w:val="00394DB5"/>
    <w:rsid w:val="00394FFC"/>
    <w:rsid w:val="0039501C"/>
    <w:rsid w:val="00395500"/>
    <w:rsid w:val="003955B2"/>
    <w:rsid w:val="0039561A"/>
    <w:rsid w:val="003957D5"/>
    <w:rsid w:val="0039592D"/>
    <w:rsid w:val="00395CE0"/>
    <w:rsid w:val="00396005"/>
    <w:rsid w:val="003965B5"/>
    <w:rsid w:val="0039662C"/>
    <w:rsid w:val="0039674E"/>
    <w:rsid w:val="003968DF"/>
    <w:rsid w:val="00396900"/>
    <w:rsid w:val="00396A38"/>
    <w:rsid w:val="00396DE0"/>
    <w:rsid w:val="003971F6"/>
    <w:rsid w:val="00397647"/>
    <w:rsid w:val="003976C1"/>
    <w:rsid w:val="0039775E"/>
    <w:rsid w:val="0039793F"/>
    <w:rsid w:val="003A02F6"/>
    <w:rsid w:val="003A03E8"/>
    <w:rsid w:val="003A077C"/>
    <w:rsid w:val="003A0906"/>
    <w:rsid w:val="003A098D"/>
    <w:rsid w:val="003A0C41"/>
    <w:rsid w:val="003A1256"/>
    <w:rsid w:val="003A15F4"/>
    <w:rsid w:val="003A16DF"/>
    <w:rsid w:val="003A18F2"/>
    <w:rsid w:val="003A19B0"/>
    <w:rsid w:val="003A1AC7"/>
    <w:rsid w:val="003A20F5"/>
    <w:rsid w:val="003A2231"/>
    <w:rsid w:val="003A2583"/>
    <w:rsid w:val="003A27D1"/>
    <w:rsid w:val="003A282C"/>
    <w:rsid w:val="003A2DA7"/>
    <w:rsid w:val="003A3155"/>
    <w:rsid w:val="003A343C"/>
    <w:rsid w:val="003A355F"/>
    <w:rsid w:val="003A389C"/>
    <w:rsid w:val="003A3DB6"/>
    <w:rsid w:val="003A41D7"/>
    <w:rsid w:val="003A458D"/>
    <w:rsid w:val="003A46BF"/>
    <w:rsid w:val="003A55CE"/>
    <w:rsid w:val="003A5899"/>
    <w:rsid w:val="003A5925"/>
    <w:rsid w:val="003A5F0D"/>
    <w:rsid w:val="003A6001"/>
    <w:rsid w:val="003A64CD"/>
    <w:rsid w:val="003A6502"/>
    <w:rsid w:val="003A6A5D"/>
    <w:rsid w:val="003A6C1F"/>
    <w:rsid w:val="003A7101"/>
    <w:rsid w:val="003A73C9"/>
    <w:rsid w:val="003A750E"/>
    <w:rsid w:val="003B001E"/>
    <w:rsid w:val="003B0169"/>
    <w:rsid w:val="003B04F2"/>
    <w:rsid w:val="003B089E"/>
    <w:rsid w:val="003B0EC9"/>
    <w:rsid w:val="003B106C"/>
    <w:rsid w:val="003B1D30"/>
    <w:rsid w:val="003B2A86"/>
    <w:rsid w:val="003B2BA7"/>
    <w:rsid w:val="003B2D55"/>
    <w:rsid w:val="003B31BA"/>
    <w:rsid w:val="003B35AC"/>
    <w:rsid w:val="003B3B13"/>
    <w:rsid w:val="003B3B74"/>
    <w:rsid w:val="003B442C"/>
    <w:rsid w:val="003B445F"/>
    <w:rsid w:val="003B451E"/>
    <w:rsid w:val="003B48DA"/>
    <w:rsid w:val="003B4A93"/>
    <w:rsid w:val="003B4B5B"/>
    <w:rsid w:val="003B4FD3"/>
    <w:rsid w:val="003B542A"/>
    <w:rsid w:val="003B56BF"/>
    <w:rsid w:val="003B62CE"/>
    <w:rsid w:val="003B6AA0"/>
    <w:rsid w:val="003B6DB7"/>
    <w:rsid w:val="003B6F09"/>
    <w:rsid w:val="003B7140"/>
    <w:rsid w:val="003B74C3"/>
    <w:rsid w:val="003B750C"/>
    <w:rsid w:val="003B7A97"/>
    <w:rsid w:val="003B7E0F"/>
    <w:rsid w:val="003C0023"/>
    <w:rsid w:val="003C0444"/>
    <w:rsid w:val="003C07D7"/>
    <w:rsid w:val="003C080B"/>
    <w:rsid w:val="003C0F75"/>
    <w:rsid w:val="003C158F"/>
    <w:rsid w:val="003C1A21"/>
    <w:rsid w:val="003C1ACA"/>
    <w:rsid w:val="003C1B24"/>
    <w:rsid w:val="003C1BD0"/>
    <w:rsid w:val="003C1C7B"/>
    <w:rsid w:val="003C1E70"/>
    <w:rsid w:val="003C23BA"/>
    <w:rsid w:val="003C248C"/>
    <w:rsid w:val="003C27CC"/>
    <w:rsid w:val="003C2A07"/>
    <w:rsid w:val="003C2FEB"/>
    <w:rsid w:val="003C36E1"/>
    <w:rsid w:val="003C3C43"/>
    <w:rsid w:val="003C3F95"/>
    <w:rsid w:val="003C41D6"/>
    <w:rsid w:val="003C494B"/>
    <w:rsid w:val="003C4A32"/>
    <w:rsid w:val="003C4A5A"/>
    <w:rsid w:val="003C563D"/>
    <w:rsid w:val="003C6141"/>
    <w:rsid w:val="003C6773"/>
    <w:rsid w:val="003C68AA"/>
    <w:rsid w:val="003C6C7C"/>
    <w:rsid w:val="003C7DE7"/>
    <w:rsid w:val="003D012E"/>
    <w:rsid w:val="003D02FC"/>
    <w:rsid w:val="003D0B46"/>
    <w:rsid w:val="003D0DD6"/>
    <w:rsid w:val="003D116B"/>
    <w:rsid w:val="003D1B5C"/>
    <w:rsid w:val="003D21B5"/>
    <w:rsid w:val="003D21F9"/>
    <w:rsid w:val="003D2792"/>
    <w:rsid w:val="003D27FA"/>
    <w:rsid w:val="003D2AA4"/>
    <w:rsid w:val="003D2AE0"/>
    <w:rsid w:val="003D2BDA"/>
    <w:rsid w:val="003D3058"/>
    <w:rsid w:val="003D3870"/>
    <w:rsid w:val="003D387F"/>
    <w:rsid w:val="003D391D"/>
    <w:rsid w:val="003D42AA"/>
    <w:rsid w:val="003D496A"/>
    <w:rsid w:val="003D4E40"/>
    <w:rsid w:val="003D52FE"/>
    <w:rsid w:val="003D58C2"/>
    <w:rsid w:val="003D599E"/>
    <w:rsid w:val="003D59A6"/>
    <w:rsid w:val="003D5D16"/>
    <w:rsid w:val="003D5FF8"/>
    <w:rsid w:val="003D69B7"/>
    <w:rsid w:val="003D73F8"/>
    <w:rsid w:val="003E011B"/>
    <w:rsid w:val="003E081A"/>
    <w:rsid w:val="003E0D3B"/>
    <w:rsid w:val="003E1160"/>
    <w:rsid w:val="003E1385"/>
    <w:rsid w:val="003E176C"/>
    <w:rsid w:val="003E185F"/>
    <w:rsid w:val="003E19AB"/>
    <w:rsid w:val="003E1A96"/>
    <w:rsid w:val="003E1E3B"/>
    <w:rsid w:val="003E2582"/>
    <w:rsid w:val="003E266E"/>
    <w:rsid w:val="003E2735"/>
    <w:rsid w:val="003E2853"/>
    <w:rsid w:val="003E2AE0"/>
    <w:rsid w:val="003E2B43"/>
    <w:rsid w:val="003E2E46"/>
    <w:rsid w:val="003E3121"/>
    <w:rsid w:val="003E394F"/>
    <w:rsid w:val="003E3971"/>
    <w:rsid w:val="003E3987"/>
    <w:rsid w:val="003E3F67"/>
    <w:rsid w:val="003E42C1"/>
    <w:rsid w:val="003E4534"/>
    <w:rsid w:val="003E4591"/>
    <w:rsid w:val="003E4773"/>
    <w:rsid w:val="003E48B9"/>
    <w:rsid w:val="003E498C"/>
    <w:rsid w:val="003E4A4F"/>
    <w:rsid w:val="003E553F"/>
    <w:rsid w:val="003E5797"/>
    <w:rsid w:val="003E5ADF"/>
    <w:rsid w:val="003E5B9E"/>
    <w:rsid w:val="003E5CB7"/>
    <w:rsid w:val="003E5E33"/>
    <w:rsid w:val="003E610E"/>
    <w:rsid w:val="003E615C"/>
    <w:rsid w:val="003E63F1"/>
    <w:rsid w:val="003E693D"/>
    <w:rsid w:val="003E6B59"/>
    <w:rsid w:val="003E6D3F"/>
    <w:rsid w:val="003E7142"/>
    <w:rsid w:val="003E79E0"/>
    <w:rsid w:val="003E7F9E"/>
    <w:rsid w:val="003F0082"/>
    <w:rsid w:val="003F0543"/>
    <w:rsid w:val="003F0CA4"/>
    <w:rsid w:val="003F1748"/>
    <w:rsid w:val="003F189A"/>
    <w:rsid w:val="003F1B60"/>
    <w:rsid w:val="003F1DD0"/>
    <w:rsid w:val="003F1F40"/>
    <w:rsid w:val="003F2389"/>
    <w:rsid w:val="003F278B"/>
    <w:rsid w:val="003F2910"/>
    <w:rsid w:val="003F2B17"/>
    <w:rsid w:val="003F36BD"/>
    <w:rsid w:val="003F4556"/>
    <w:rsid w:val="003F495F"/>
    <w:rsid w:val="003F499C"/>
    <w:rsid w:val="003F5194"/>
    <w:rsid w:val="003F545F"/>
    <w:rsid w:val="003F55DE"/>
    <w:rsid w:val="003F575D"/>
    <w:rsid w:val="003F5B74"/>
    <w:rsid w:val="003F5B93"/>
    <w:rsid w:val="003F5D40"/>
    <w:rsid w:val="003F6062"/>
    <w:rsid w:val="003F6C15"/>
    <w:rsid w:val="003F6CE3"/>
    <w:rsid w:val="003F760F"/>
    <w:rsid w:val="003F7FB0"/>
    <w:rsid w:val="003F7FE4"/>
    <w:rsid w:val="00400520"/>
    <w:rsid w:val="00400733"/>
    <w:rsid w:val="00400929"/>
    <w:rsid w:val="00400B87"/>
    <w:rsid w:val="00400E9F"/>
    <w:rsid w:val="004019CE"/>
    <w:rsid w:val="00401BDA"/>
    <w:rsid w:val="004021CF"/>
    <w:rsid w:val="00402494"/>
    <w:rsid w:val="00402E44"/>
    <w:rsid w:val="00402E77"/>
    <w:rsid w:val="00402F9B"/>
    <w:rsid w:val="004032EB"/>
    <w:rsid w:val="00403B3A"/>
    <w:rsid w:val="00403BE4"/>
    <w:rsid w:val="0040430E"/>
    <w:rsid w:val="00404F4D"/>
    <w:rsid w:val="0040528C"/>
    <w:rsid w:val="00405674"/>
    <w:rsid w:val="00405F2A"/>
    <w:rsid w:val="00406794"/>
    <w:rsid w:val="004069AD"/>
    <w:rsid w:val="00407A62"/>
    <w:rsid w:val="00407AF9"/>
    <w:rsid w:val="00407EE2"/>
    <w:rsid w:val="0041018D"/>
    <w:rsid w:val="00410505"/>
    <w:rsid w:val="004105AA"/>
    <w:rsid w:val="004106C4"/>
    <w:rsid w:val="00410AEB"/>
    <w:rsid w:val="00410B51"/>
    <w:rsid w:val="004113FC"/>
    <w:rsid w:val="004116FF"/>
    <w:rsid w:val="004117CC"/>
    <w:rsid w:val="00411E06"/>
    <w:rsid w:val="00411EAA"/>
    <w:rsid w:val="00411F92"/>
    <w:rsid w:val="00412389"/>
    <w:rsid w:val="0041250B"/>
    <w:rsid w:val="0041267D"/>
    <w:rsid w:val="004126F4"/>
    <w:rsid w:val="0041289C"/>
    <w:rsid w:val="004128CF"/>
    <w:rsid w:val="0041295B"/>
    <w:rsid w:val="004130FA"/>
    <w:rsid w:val="004134B0"/>
    <w:rsid w:val="004135A3"/>
    <w:rsid w:val="00413A53"/>
    <w:rsid w:val="00413B31"/>
    <w:rsid w:val="00413C98"/>
    <w:rsid w:val="00413E8B"/>
    <w:rsid w:val="00413F5E"/>
    <w:rsid w:val="0041421F"/>
    <w:rsid w:val="00414671"/>
    <w:rsid w:val="004146F4"/>
    <w:rsid w:val="0041485C"/>
    <w:rsid w:val="00414E91"/>
    <w:rsid w:val="004152CD"/>
    <w:rsid w:val="00415A2B"/>
    <w:rsid w:val="00416235"/>
    <w:rsid w:val="004162D7"/>
    <w:rsid w:val="00416682"/>
    <w:rsid w:val="004167C6"/>
    <w:rsid w:val="00416D8C"/>
    <w:rsid w:val="00416DC3"/>
    <w:rsid w:val="00417080"/>
    <w:rsid w:val="004170BD"/>
    <w:rsid w:val="0041715A"/>
    <w:rsid w:val="00417334"/>
    <w:rsid w:val="004174AB"/>
    <w:rsid w:val="004175F2"/>
    <w:rsid w:val="0041779B"/>
    <w:rsid w:val="0041793A"/>
    <w:rsid w:val="00417B5E"/>
    <w:rsid w:val="00417F99"/>
    <w:rsid w:val="00419011"/>
    <w:rsid w:val="004200BE"/>
    <w:rsid w:val="0042010C"/>
    <w:rsid w:val="004205FB"/>
    <w:rsid w:val="00420864"/>
    <w:rsid w:val="00420F99"/>
    <w:rsid w:val="00421572"/>
    <w:rsid w:val="00421668"/>
    <w:rsid w:val="00421C17"/>
    <w:rsid w:val="00421CD7"/>
    <w:rsid w:val="00421FA7"/>
    <w:rsid w:val="00421FDE"/>
    <w:rsid w:val="004222F3"/>
    <w:rsid w:val="00422484"/>
    <w:rsid w:val="0042262C"/>
    <w:rsid w:val="00422739"/>
    <w:rsid w:val="00422D5F"/>
    <w:rsid w:val="00422E7B"/>
    <w:rsid w:val="00422EB6"/>
    <w:rsid w:val="004231F6"/>
    <w:rsid w:val="00423C9C"/>
    <w:rsid w:val="004242C0"/>
    <w:rsid w:val="00424794"/>
    <w:rsid w:val="00424B0B"/>
    <w:rsid w:val="0042582E"/>
    <w:rsid w:val="00425D51"/>
    <w:rsid w:val="00425EF1"/>
    <w:rsid w:val="00426086"/>
    <w:rsid w:val="0042672E"/>
    <w:rsid w:val="0042786F"/>
    <w:rsid w:val="00427C36"/>
    <w:rsid w:val="00427CCF"/>
    <w:rsid w:val="00427E4F"/>
    <w:rsid w:val="00427ECB"/>
    <w:rsid w:val="004304AF"/>
    <w:rsid w:val="004306E3"/>
    <w:rsid w:val="00430751"/>
    <w:rsid w:val="0043110C"/>
    <w:rsid w:val="004319BB"/>
    <w:rsid w:val="004321DF"/>
    <w:rsid w:val="0043260F"/>
    <w:rsid w:val="004326D9"/>
    <w:rsid w:val="00432733"/>
    <w:rsid w:val="004328C5"/>
    <w:rsid w:val="00432C9B"/>
    <w:rsid w:val="00433087"/>
    <w:rsid w:val="004335E6"/>
    <w:rsid w:val="00433633"/>
    <w:rsid w:val="0043365C"/>
    <w:rsid w:val="00433EF7"/>
    <w:rsid w:val="00434007"/>
    <w:rsid w:val="0043468A"/>
    <w:rsid w:val="0043487E"/>
    <w:rsid w:val="004351C3"/>
    <w:rsid w:val="004353C0"/>
    <w:rsid w:val="00435A61"/>
    <w:rsid w:val="00435BAD"/>
    <w:rsid w:val="0043655C"/>
    <w:rsid w:val="004365C1"/>
    <w:rsid w:val="004366A6"/>
    <w:rsid w:val="00436925"/>
    <w:rsid w:val="00436A22"/>
    <w:rsid w:val="00436FD8"/>
    <w:rsid w:val="00437078"/>
    <w:rsid w:val="0043765E"/>
    <w:rsid w:val="00437C92"/>
    <w:rsid w:val="00440894"/>
    <w:rsid w:val="00440C26"/>
    <w:rsid w:val="00440CCC"/>
    <w:rsid w:val="00441059"/>
    <w:rsid w:val="00441870"/>
    <w:rsid w:val="00441959"/>
    <w:rsid w:val="00441D0A"/>
    <w:rsid w:val="00441DF0"/>
    <w:rsid w:val="00442016"/>
    <w:rsid w:val="00442159"/>
    <w:rsid w:val="0044241A"/>
    <w:rsid w:val="00442455"/>
    <w:rsid w:val="00442506"/>
    <w:rsid w:val="00442B91"/>
    <w:rsid w:val="00442FEB"/>
    <w:rsid w:val="00443264"/>
    <w:rsid w:val="0044335F"/>
    <w:rsid w:val="0044387A"/>
    <w:rsid w:val="00443A2F"/>
    <w:rsid w:val="00443DFF"/>
    <w:rsid w:val="00443ECD"/>
    <w:rsid w:val="004446BF"/>
    <w:rsid w:val="00444D54"/>
    <w:rsid w:val="00444DB4"/>
    <w:rsid w:val="00445187"/>
    <w:rsid w:val="004455A9"/>
    <w:rsid w:val="00445A30"/>
    <w:rsid w:val="00445EA6"/>
    <w:rsid w:val="00446382"/>
    <w:rsid w:val="004464E9"/>
    <w:rsid w:val="0044654B"/>
    <w:rsid w:val="004466C1"/>
    <w:rsid w:val="0044692A"/>
    <w:rsid w:val="004469BC"/>
    <w:rsid w:val="00447485"/>
    <w:rsid w:val="004474A9"/>
    <w:rsid w:val="0044750B"/>
    <w:rsid w:val="0044775B"/>
    <w:rsid w:val="00447C0B"/>
    <w:rsid w:val="00447CD9"/>
    <w:rsid w:val="00450F83"/>
    <w:rsid w:val="0045100B"/>
    <w:rsid w:val="00451082"/>
    <w:rsid w:val="00451258"/>
    <w:rsid w:val="00451304"/>
    <w:rsid w:val="0045151C"/>
    <w:rsid w:val="00451667"/>
    <w:rsid w:val="004518C0"/>
    <w:rsid w:val="0045197C"/>
    <w:rsid w:val="00451BA6"/>
    <w:rsid w:val="00451DD8"/>
    <w:rsid w:val="004520EC"/>
    <w:rsid w:val="0045214C"/>
    <w:rsid w:val="0045216F"/>
    <w:rsid w:val="004521DA"/>
    <w:rsid w:val="00452451"/>
    <w:rsid w:val="004524D8"/>
    <w:rsid w:val="004529FD"/>
    <w:rsid w:val="00453810"/>
    <w:rsid w:val="0045443A"/>
    <w:rsid w:val="0045475A"/>
    <w:rsid w:val="004549D1"/>
    <w:rsid w:val="00454A2F"/>
    <w:rsid w:val="00454C84"/>
    <w:rsid w:val="004551A8"/>
    <w:rsid w:val="00455226"/>
    <w:rsid w:val="004558B2"/>
    <w:rsid w:val="00455C5E"/>
    <w:rsid w:val="00455C8F"/>
    <w:rsid w:val="00455E63"/>
    <w:rsid w:val="004565C8"/>
    <w:rsid w:val="0045661F"/>
    <w:rsid w:val="00456A17"/>
    <w:rsid w:val="00457079"/>
    <w:rsid w:val="0045770A"/>
    <w:rsid w:val="00457848"/>
    <w:rsid w:val="00457B92"/>
    <w:rsid w:val="004612A9"/>
    <w:rsid w:val="004617FD"/>
    <w:rsid w:val="00461C36"/>
    <w:rsid w:val="00461FC6"/>
    <w:rsid w:val="00462389"/>
    <w:rsid w:val="004628DC"/>
    <w:rsid w:val="00462BA0"/>
    <w:rsid w:val="00463930"/>
    <w:rsid w:val="00463C38"/>
    <w:rsid w:val="00463D21"/>
    <w:rsid w:val="00463E86"/>
    <w:rsid w:val="0046432C"/>
    <w:rsid w:val="00464540"/>
    <w:rsid w:val="00464908"/>
    <w:rsid w:val="00464B6D"/>
    <w:rsid w:val="00464CEC"/>
    <w:rsid w:val="0046520D"/>
    <w:rsid w:val="00465C75"/>
    <w:rsid w:val="004664EA"/>
    <w:rsid w:val="004679F2"/>
    <w:rsid w:val="00467A7A"/>
    <w:rsid w:val="00467C24"/>
    <w:rsid w:val="00467E32"/>
    <w:rsid w:val="00470148"/>
    <w:rsid w:val="004702FD"/>
    <w:rsid w:val="00470426"/>
    <w:rsid w:val="004704DB"/>
    <w:rsid w:val="00471634"/>
    <w:rsid w:val="00471AEF"/>
    <w:rsid w:val="00472157"/>
    <w:rsid w:val="0047227C"/>
    <w:rsid w:val="004722C9"/>
    <w:rsid w:val="00472430"/>
    <w:rsid w:val="00472DF8"/>
    <w:rsid w:val="00472E7B"/>
    <w:rsid w:val="00472FFD"/>
    <w:rsid w:val="004734F5"/>
    <w:rsid w:val="00473669"/>
    <w:rsid w:val="0047372D"/>
    <w:rsid w:val="00473739"/>
    <w:rsid w:val="00473890"/>
    <w:rsid w:val="004742FA"/>
    <w:rsid w:val="00474352"/>
    <w:rsid w:val="00474811"/>
    <w:rsid w:val="004748BA"/>
    <w:rsid w:val="00475224"/>
    <w:rsid w:val="0047572F"/>
    <w:rsid w:val="004759C9"/>
    <w:rsid w:val="00476478"/>
    <w:rsid w:val="0047669B"/>
    <w:rsid w:val="0047675D"/>
    <w:rsid w:val="00476C61"/>
    <w:rsid w:val="004771C3"/>
    <w:rsid w:val="00477350"/>
    <w:rsid w:val="00477851"/>
    <w:rsid w:val="004778EA"/>
    <w:rsid w:val="00477978"/>
    <w:rsid w:val="004779EC"/>
    <w:rsid w:val="004779F8"/>
    <w:rsid w:val="00477A6E"/>
    <w:rsid w:val="00477B36"/>
    <w:rsid w:val="004800E0"/>
    <w:rsid w:val="0048038C"/>
    <w:rsid w:val="00480451"/>
    <w:rsid w:val="00480FDC"/>
    <w:rsid w:val="004816F7"/>
    <w:rsid w:val="00481ACE"/>
    <w:rsid w:val="00481BFB"/>
    <w:rsid w:val="00482A91"/>
    <w:rsid w:val="00482F37"/>
    <w:rsid w:val="0048311A"/>
    <w:rsid w:val="004833DE"/>
    <w:rsid w:val="00483ADF"/>
    <w:rsid w:val="00483C57"/>
    <w:rsid w:val="00484B96"/>
    <w:rsid w:val="00485387"/>
    <w:rsid w:val="00485CFB"/>
    <w:rsid w:val="00485F73"/>
    <w:rsid w:val="00486004"/>
    <w:rsid w:val="00486A29"/>
    <w:rsid w:val="00486C7C"/>
    <w:rsid w:val="00487816"/>
    <w:rsid w:val="00487D27"/>
    <w:rsid w:val="00490281"/>
    <w:rsid w:val="0049034F"/>
    <w:rsid w:val="004903DC"/>
    <w:rsid w:val="0049094C"/>
    <w:rsid w:val="00490DF0"/>
    <w:rsid w:val="00490FF4"/>
    <w:rsid w:val="00491B6B"/>
    <w:rsid w:val="0049293F"/>
    <w:rsid w:val="00493431"/>
    <w:rsid w:val="0049494C"/>
    <w:rsid w:val="00494DE8"/>
    <w:rsid w:val="00494E74"/>
    <w:rsid w:val="00494F11"/>
    <w:rsid w:val="00495388"/>
    <w:rsid w:val="0049579C"/>
    <w:rsid w:val="00495E37"/>
    <w:rsid w:val="00496147"/>
    <w:rsid w:val="00496349"/>
    <w:rsid w:val="0049653D"/>
    <w:rsid w:val="0049656F"/>
    <w:rsid w:val="004968EB"/>
    <w:rsid w:val="00496A63"/>
    <w:rsid w:val="00496DD9"/>
    <w:rsid w:val="00496F17"/>
    <w:rsid w:val="00497D7F"/>
    <w:rsid w:val="004A0013"/>
    <w:rsid w:val="004A00A4"/>
    <w:rsid w:val="004A0461"/>
    <w:rsid w:val="004A086B"/>
    <w:rsid w:val="004A0ACC"/>
    <w:rsid w:val="004A0CB8"/>
    <w:rsid w:val="004A0DA1"/>
    <w:rsid w:val="004A1127"/>
    <w:rsid w:val="004A1491"/>
    <w:rsid w:val="004A17A6"/>
    <w:rsid w:val="004A2777"/>
    <w:rsid w:val="004A28F3"/>
    <w:rsid w:val="004A2CF8"/>
    <w:rsid w:val="004A2D81"/>
    <w:rsid w:val="004A30F6"/>
    <w:rsid w:val="004A33DB"/>
    <w:rsid w:val="004A367D"/>
    <w:rsid w:val="004A37EF"/>
    <w:rsid w:val="004A3C62"/>
    <w:rsid w:val="004A422C"/>
    <w:rsid w:val="004A429F"/>
    <w:rsid w:val="004A500D"/>
    <w:rsid w:val="004A6671"/>
    <w:rsid w:val="004A6AA9"/>
    <w:rsid w:val="004A6C60"/>
    <w:rsid w:val="004A6C90"/>
    <w:rsid w:val="004A6EBC"/>
    <w:rsid w:val="004A6EE9"/>
    <w:rsid w:val="004A6F9D"/>
    <w:rsid w:val="004A713C"/>
    <w:rsid w:val="004A7262"/>
    <w:rsid w:val="004A79E8"/>
    <w:rsid w:val="004A79FE"/>
    <w:rsid w:val="004A7B0E"/>
    <w:rsid w:val="004B0F32"/>
    <w:rsid w:val="004B11F4"/>
    <w:rsid w:val="004B12E6"/>
    <w:rsid w:val="004B1A50"/>
    <w:rsid w:val="004B1D9C"/>
    <w:rsid w:val="004B2055"/>
    <w:rsid w:val="004B2292"/>
    <w:rsid w:val="004B23A6"/>
    <w:rsid w:val="004B2705"/>
    <w:rsid w:val="004B2FE7"/>
    <w:rsid w:val="004B3401"/>
    <w:rsid w:val="004B34B1"/>
    <w:rsid w:val="004B3D8E"/>
    <w:rsid w:val="004B40EC"/>
    <w:rsid w:val="004B4611"/>
    <w:rsid w:val="004B4D29"/>
    <w:rsid w:val="004B4DD1"/>
    <w:rsid w:val="004B52A2"/>
    <w:rsid w:val="004B534F"/>
    <w:rsid w:val="004B58D1"/>
    <w:rsid w:val="004B5CD6"/>
    <w:rsid w:val="004B5CE9"/>
    <w:rsid w:val="004B602A"/>
    <w:rsid w:val="004B6827"/>
    <w:rsid w:val="004B6D1C"/>
    <w:rsid w:val="004B715F"/>
    <w:rsid w:val="004B7DBA"/>
    <w:rsid w:val="004B7F6B"/>
    <w:rsid w:val="004B7FEA"/>
    <w:rsid w:val="004C03CA"/>
    <w:rsid w:val="004C05DE"/>
    <w:rsid w:val="004C0BCA"/>
    <w:rsid w:val="004C15E1"/>
    <w:rsid w:val="004C1DC7"/>
    <w:rsid w:val="004C218F"/>
    <w:rsid w:val="004C245E"/>
    <w:rsid w:val="004C2467"/>
    <w:rsid w:val="004C2962"/>
    <w:rsid w:val="004C2AA4"/>
    <w:rsid w:val="004C2C09"/>
    <w:rsid w:val="004C35F0"/>
    <w:rsid w:val="004C3927"/>
    <w:rsid w:val="004C3B7A"/>
    <w:rsid w:val="004C3E39"/>
    <w:rsid w:val="004C4413"/>
    <w:rsid w:val="004C443C"/>
    <w:rsid w:val="004C4567"/>
    <w:rsid w:val="004C497D"/>
    <w:rsid w:val="004C5392"/>
    <w:rsid w:val="004C5574"/>
    <w:rsid w:val="004C5589"/>
    <w:rsid w:val="004C5EEE"/>
    <w:rsid w:val="004C6272"/>
    <w:rsid w:val="004C6444"/>
    <w:rsid w:val="004C65D3"/>
    <w:rsid w:val="004C7452"/>
    <w:rsid w:val="004C767F"/>
    <w:rsid w:val="004C7FB7"/>
    <w:rsid w:val="004D0059"/>
    <w:rsid w:val="004D0964"/>
    <w:rsid w:val="004D09D3"/>
    <w:rsid w:val="004D09EA"/>
    <w:rsid w:val="004D0C37"/>
    <w:rsid w:val="004D15C0"/>
    <w:rsid w:val="004D1DC9"/>
    <w:rsid w:val="004D1F18"/>
    <w:rsid w:val="004D2136"/>
    <w:rsid w:val="004D2206"/>
    <w:rsid w:val="004D30FC"/>
    <w:rsid w:val="004D32BB"/>
    <w:rsid w:val="004D3791"/>
    <w:rsid w:val="004D3981"/>
    <w:rsid w:val="004D3BBC"/>
    <w:rsid w:val="004D4397"/>
    <w:rsid w:val="004D489E"/>
    <w:rsid w:val="004D4B0C"/>
    <w:rsid w:val="004D4C13"/>
    <w:rsid w:val="004D575C"/>
    <w:rsid w:val="004D57E8"/>
    <w:rsid w:val="004D5C5E"/>
    <w:rsid w:val="004D5F39"/>
    <w:rsid w:val="004D6A3A"/>
    <w:rsid w:val="004D749D"/>
    <w:rsid w:val="004D781D"/>
    <w:rsid w:val="004D7884"/>
    <w:rsid w:val="004D78C4"/>
    <w:rsid w:val="004D7F50"/>
    <w:rsid w:val="004E00F8"/>
    <w:rsid w:val="004E0265"/>
    <w:rsid w:val="004E031E"/>
    <w:rsid w:val="004E052D"/>
    <w:rsid w:val="004E0A3D"/>
    <w:rsid w:val="004E0C1F"/>
    <w:rsid w:val="004E0C29"/>
    <w:rsid w:val="004E1388"/>
    <w:rsid w:val="004E1441"/>
    <w:rsid w:val="004E189A"/>
    <w:rsid w:val="004E1D1F"/>
    <w:rsid w:val="004E1ECE"/>
    <w:rsid w:val="004E1F31"/>
    <w:rsid w:val="004E274B"/>
    <w:rsid w:val="004E2D3E"/>
    <w:rsid w:val="004E2EB0"/>
    <w:rsid w:val="004E3209"/>
    <w:rsid w:val="004E4013"/>
    <w:rsid w:val="004E416A"/>
    <w:rsid w:val="004E42E9"/>
    <w:rsid w:val="004E493A"/>
    <w:rsid w:val="004E498F"/>
    <w:rsid w:val="004E4A7F"/>
    <w:rsid w:val="004E4CC9"/>
    <w:rsid w:val="004E4D04"/>
    <w:rsid w:val="004E5631"/>
    <w:rsid w:val="004E5947"/>
    <w:rsid w:val="004E5BFC"/>
    <w:rsid w:val="004E5D27"/>
    <w:rsid w:val="004E64A5"/>
    <w:rsid w:val="004E6D4A"/>
    <w:rsid w:val="004E6FFE"/>
    <w:rsid w:val="004E7569"/>
    <w:rsid w:val="004E7D62"/>
    <w:rsid w:val="004E7F01"/>
    <w:rsid w:val="004F0914"/>
    <w:rsid w:val="004F0FDB"/>
    <w:rsid w:val="004F1745"/>
    <w:rsid w:val="004F189D"/>
    <w:rsid w:val="004F206B"/>
    <w:rsid w:val="004F2168"/>
    <w:rsid w:val="004F255D"/>
    <w:rsid w:val="004F2F2A"/>
    <w:rsid w:val="004F38A1"/>
    <w:rsid w:val="004F3930"/>
    <w:rsid w:val="004F3B73"/>
    <w:rsid w:val="004F4314"/>
    <w:rsid w:val="004F4320"/>
    <w:rsid w:val="004F47C5"/>
    <w:rsid w:val="004F492B"/>
    <w:rsid w:val="004F4D1C"/>
    <w:rsid w:val="004F4F9D"/>
    <w:rsid w:val="004F50A6"/>
    <w:rsid w:val="004F5397"/>
    <w:rsid w:val="004F540B"/>
    <w:rsid w:val="004F592F"/>
    <w:rsid w:val="004F5CB0"/>
    <w:rsid w:val="004F5CCE"/>
    <w:rsid w:val="004F5D9D"/>
    <w:rsid w:val="004F5EB3"/>
    <w:rsid w:val="004F6145"/>
    <w:rsid w:val="004F72E8"/>
    <w:rsid w:val="004F733D"/>
    <w:rsid w:val="004F7BD9"/>
    <w:rsid w:val="00500405"/>
    <w:rsid w:val="005014A0"/>
    <w:rsid w:val="0050157F"/>
    <w:rsid w:val="005016AD"/>
    <w:rsid w:val="00501AAE"/>
    <w:rsid w:val="00501AEB"/>
    <w:rsid w:val="00502410"/>
    <w:rsid w:val="005025EA"/>
    <w:rsid w:val="00502B4A"/>
    <w:rsid w:val="00502C9A"/>
    <w:rsid w:val="00502D77"/>
    <w:rsid w:val="00502E16"/>
    <w:rsid w:val="00502F4C"/>
    <w:rsid w:val="005030B2"/>
    <w:rsid w:val="00503181"/>
    <w:rsid w:val="005033EA"/>
    <w:rsid w:val="0050345E"/>
    <w:rsid w:val="005036F6"/>
    <w:rsid w:val="005037A8"/>
    <w:rsid w:val="00503900"/>
    <w:rsid w:val="00503A7D"/>
    <w:rsid w:val="00503AC3"/>
    <w:rsid w:val="00503E9C"/>
    <w:rsid w:val="0050403B"/>
    <w:rsid w:val="00504773"/>
    <w:rsid w:val="00504A60"/>
    <w:rsid w:val="00504E47"/>
    <w:rsid w:val="00504FC6"/>
    <w:rsid w:val="0050554F"/>
    <w:rsid w:val="00505598"/>
    <w:rsid w:val="00506147"/>
    <w:rsid w:val="005062B2"/>
    <w:rsid w:val="00506500"/>
    <w:rsid w:val="0050688F"/>
    <w:rsid w:val="00506DDE"/>
    <w:rsid w:val="0050755C"/>
    <w:rsid w:val="0050765A"/>
    <w:rsid w:val="005077B1"/>
    <w:rsid w:val="005078B7"/>
    <w:rsid w:val="005078F5"/>
    <w:rsid w:val="00507965"/>
    <w:rsid w:val="005100DC"/>
    <w:rsid w:val="00510B8B"/>
    <w:rsid w:val="00510CBF"/>
    <w:rsid w:val="00510FEA"/>
    <w:rsid w:val="00511033"/>
    <w:rsid w:val="0051110F"/>
    <w:rsid w:val="00511E75"/>
    <w:rsid w:val="005120CA"/>
    <w:rsid w:val="0051241F"/>
    <w:rsid w:val="0051277A"/>
    <w:rsid w:val="005128B6"/>
    <w:rsid w:val="005135C6"/>
    <w:rsid w:val="00513936"/>
    <w:rsid w:val="005139F8"/>
    <w:rsid w:val="00514409"/>
    <w:rsid w:val="00514426"/>
    <w:rsid w:val="005147E4"/>
    <w:rsid w:val="00514B5C"/>
    <w:rsid w:val="00514FD2"/>
    <w:rsid w:val="005151A7"/>
    <w:rsid w:val="005153F8"/>
    <w:rsid w:val="00515C74"/>
    <w:rsid w:val="00515E95"/>
    <w:rsid w:val="00516076"/>
    <w:rsid w:val="0051625B"/>
    <w:rsid w:val="00516298"/>
    <w:rsid w:val="00516D53"/>
    <w:rsid w:val="005176AA"/>
    <w:rsid w:val="00517B6D"/>
    <w:rsid w:val="0052029F"/>
    <w:rsid w:val="0052044B"/>
    <w:rsid w:val="00520FC0"/>
    <w:rsid w:val="00521172"/>
    <w:rsid w:val="0052143E"/>
    <w:rsid w:val="0052145A"/>
    <w:rsid w:val="0052146E"/>
    <w:rsid w:val="00521560"/>
    <w:rsid w:val="005222A6"/>
    <w:rsid w:val="00522315"/>
    <w:rsid w:val="005223C5"/>
    <w:rsid w:val="00522BAE"/>
    <w:rsid w:val="00523538"/>
    <w:rsid w:val="00523831"/>
    <w:rsid w:val="00523B01"/>
    <w:rsid w:val="00523C94"/>
    <w:rsid w:val="00523DBF"/>
    <w:rsid w:val="005242FB"/>
    <w:rsid w:val="005244DE"/>
    <w:rsid w:val="00524BA2"/>
    <w:rsid w:val="00525209"/>
    <w:rsid w:val="00525271"/>
    <w:rsid w:val="0052529C"/>
    <w:rsid w:val="0052594E"/>
    <w:rsid w:val="00525C11"/>
    <w:rsid w:val="00525DCA"/>
    <w:rsid w:val="0052653E"/>
    <w:rsid w:val="00526CBA"/>
    <w:rsid w:val="00526FBA"/>
    <w:rsid w:val="0052709C"/>
    <w:rsid w:val="0052738E"/>
    <w:rsid w:val="00527503"/>
    <w:rsid w:val="00527831"/>
    <w:rsid w:val="00527D22"/>
    <w:rsid w:val="005309B3"/>
    <w:rsid w:val="00530D69"/>
    <w:rsid w:val="0053118E"/>
    <w:rsid w:val="005314A0"/>
    <w:rsid w:val="00531BEB"/>
    <w:rsid w:val="00532D6C"/>
    <w:rsid w:val="0053303D"/>
    <w:rsid w:val="00533098"/>
    <w:rsid w:val="005335DA"/>
    <w:rsid w:val="00533C48"/>
    <w:rsid w:val="00534208"/>
    <w:rsid w:val="00534796"/>
    <w:rsid w:val="00534834"/>
    <w:rsid w:val="005348AF"/>
    <w:rsid w:val="00535345"/>
    <w:rsid w:val="00535901"/>
    <w:rsid w:val="00535994"/>
    <w:rsid w:val="00535C46"/>
    <w:rsid w:val="00535DCD"/>
    <w:rsid w:val="00535ED0"/>
    <w:rsid w:val="005369D8"/>
    <w:rsid w:val="00536FCE"/>
    <w:rsid w:val="0053720B"/>
    <w:rsid w:val="0053742A"/>
    <w:rsid w:val="00537E4D"/>
    <w:rsid w:val="00537F63"/>
    <w:rsid w:val="00540023"/>
    <w:rsid w:val="00540808"/>
    <w:rsid w:val="00540C92"/>
    <w:rsid w:val="00541274"/>
    <w:rsid w:val="00541679"/>
    <w:rsid w:val="005417EE"/>
    <w:rsid w:val="00541A77"/>
    <w:rsid w:val="00542AE4"/>
    <w:rsid w:val="00542C75"/>
    <w:rsid w:val="00542DE8"/>
    <w:rsid w:val="00542E5B"/>
    <w:rsid w:val="00543015"/>
    <w:rsid w:val="0054306D"/>
    <w:rsid w:val="005436C4"/>
    <w:rsid w:val="0054456E"/>
    <w:rsid w:val="00544A70"/>
    <w:rsid w:val="00544D92"/>
    <w:rsid w:val="00544F65"/>
    <w:rsid w:val="005451CC"/>
    <w:rsid w:val="00545221"/>
    <w:rsid w:val="00545283"/>
    <w:rsid w:val="00545686"/>
    <w:rsid w:val="005458E6"/>
    <w:rsid w:val="005463CC"/>
    <w:rsid w:val="005469A0"/>
    <w:rsid w:val="00546BA3"/>
    <w:rsid w:val="00547178"/>
    <w:rsid w:val="005476AA"/>
    <w:rsid w:val="0054778F"/>
    <w:rsid w:val="00547A96"/>
    <w:rsid w:val="00547BC4"/>
    <w:rsid w:val="00547D36"/>
    <w:rsid w:val="00550085"/>
    <w:rsid w:val="00550272"/>
    <w:rsid w:val="005502FA"/>
    <w:rsid w:val="005503B6"/>
    <w:rsid w:val="00550840"/>
    <w:rsid w:val="00550D0C"/>
    <w:rsid w:val="00551215"/>
    <w:rsid w:val="0055121C"/>
    <w:rsid w:val="005512B7"/>
    <w:rsid w:val="00551363"/>
    <w:rsid w:val="0055149C"/>
    <w:rsid w:val="0055156A"/>
    <w:rsid w:val="00551A81"/>
    <w:rsid w:val="00551E76"/>
    <w:rsid w:val="00552A87"/>
    <w:rsid w:val="00552E60"/>
    <w:rsid w:val="00553794"/>
    <w:rsid w:val="00553E83"/>
    <w:rsid w:val="00554614"/>
    <w:rsid w:val="00554E13"/>
    <w:rsid w:val="0055561B"/>
    <w:rsid w:val="005557A8"/>
    <w:rsid w:val="005557F9"/>
    <w:rsid w:val="00555C0C"/>
    <w:rsid w:val="005562C6"/>
    <w:rsid w:val="0055663C"/>
    <w:rsid w:val="005566D0"/>
    <w:rsid w:val="0055697C"/>
    <w:rsid w:val="005571A3"/>
    <w:rsid w:val="00557217"/>
    <w:rsid w:val="005578CE"/>
    <w:rsid w:val="00557A17"/>
    <w:rsid w:val="005604B6"/>
    <w:rsid w:val="00560996"/>
    <w:rsid w:val="00560CD2"/>
    <w:rsid w:val="00560CED"/>
    <w:rsid w:val="00561565"/>
    <w:rsid w:val="0056181F"/>
    <w:rsid w:val="00561977"/>
    <w:rsid w:val="00561D30"/>
    <w:rsid w:val="00562A71"/>
    <w:rsid w:val="00562B93"/>
    <w:rsid w:val="00562DC1"/>
    <w:rsid w:val="00562E7C"/>
    <w:rsid w:val="0056306D"/>
    <w:rsid w:val="005631C0"/>
    <w:rsid w:val="005633B2"/>
    <w:rsid w:val="00563951"/>
    <w:rsid w:val="00563BB0"/>
    <w:rsid w:val="00563BEB"/>
    <w:rsid w:val="00563F48"/>
    <w:rsid w:val="0056410B"/>
    <w:rsid w:val="0056416F"/>
    <w:rsid w:val="005641F3"/>
    <w:rsid w:val="005647CA"/>
    <w:rsid w:val="0056493D"/>
    <w:rsid w:val="00564BDD"/>
    <w:rsid w:val="00564D92"/>
    <w:rsid w:val="00564EE9"/>
    <w:rsid w:val="005650C9"/>
    <w:rsid w:val="005656B1"/>
    <w:rsid w:val="00565864"/>
    <w:rsid w:val="0056639C"/>
    <w:rsid w:val="00566B15"/>
    <w:rsid w:val="00566F28"/>
    <w:rsid w:val="005670BD"/>
    <w:rsid w:val="00567AE5"/>
    <w:rsid w:val="00567B04"/>
    <w:rsid w:val="00567B38"/>
    <w:rsid w:val="00567E5E"/>
    <w:rsid w:val="005705DD"/>
    <w:rsid w:val="005706A7"/>
    <w:rsid w:val="00570726"/>
    <w:rsid w:val="00570746"/>
    <w:rsid w:val="005708F3"/>
    <w:rsid w:val="005710EE"/>
    <w:rsid w:val="00572979"/>
    <w:rsid w:val="00573348"/>
    <w:rsid w:val="0057337E"/>
    <w:rsid w:val="00573DF6"/>
    <w:rsid w:val="00573E48"/>
    <w:rsid w:val="00573EF0"/>
    <w:rsid w:val="005741B2"/>
    <w:rsid w:val="00574256"/>
    <w:rsid w:val="005742CD"/>
    <w:rsid w:val="005744BA"/>
    <w:rsid w:val="005744CB"/>
    <w:rsid w:val="005746F7"/>
    <w:rsid w:val="005747B8"/>
    <w:rsid w:val="005748E4"/>
    <w:rsid w:val="00574A31"/>
    <w:rsid w:val="00574B61"/>
    <w:rsid w:val="00574C79"/>
    <w:rsid w:val="005752B0"/>
    <w:rsid w:val="0057558C"/>
    <w:rsid w:val="005756FA"/>
    <w:rsid w:val="00575764"/>
    <w:rsid w:val="00575E9D"/>
    <w:rsid w:val="00575EBF"/>
    <w:rsid w:val="005761EE"/>
    <w:rsid w:val="0057625F"/>
    <w:rsid w:val="00576532"/>
    <w:rsid w:val="00576668"/>
    <w:rsid w:val="00576A9A"/>
    <w:rsid w:val="00576B6D"/>
    <w:rsid w:val="00576D7E"/>
    <w:rsid w:val="00576D95"/>
    <w:rsid w:val="00577016"/>
    <w:rsid w:val="0057706D"/>
    <w:rsid w:val="0057716D"/>
    <w:rsid w:val="00577842"/>
    <w:rsid w:val="00577C16"/>
    <w:rsid w:val="0058000F"/>
    <w:rsid w:val="005800E0"/>
    <w:rsid w:val="00580986"/>
    <w:rsid w:val="00580E36"/>
    <w:rsid w:val="00581744"/>
    <w:rsid w:val="00581911"/>
    <w:rsid w:val="00581FFD"/>
    <w:rsid w:val="0058215C"/>
    <w:rsid w:val="0058228C"/>
    <w:rsid w:val="0058230C"/>
    <w:rsid w:val="00582EAB"/>
    <w:rsid w:val="00582F00"/>
    <w:rsid w:val="00582F48"/>
    <w:rsid w:val="00583066"/>
    <w:rsid w:val="0058388B"/>
    <w:rsid w:val="0058424D"/>
    <w:rsid w:val="0058436D"/>
    <w:rsid w:val="0058461C"/>
    <w:rsid w:val="00584857"/>
    <w:rsid w:val="00584C22"/>
    <w:rsid w:val="00585011"/>
    <w:rsid w:val="005856ED"/>
    <w:rsid w:val="00585B7B"/>
    <w:rsid w:val="00585CA0"/>
    <w:rsid w:val="00585F4B"/>
    <w:rsid w:val="0058681C"/>
    <w:rsid w:val="00586C6B"/>
    <w:rsid w:val="00586D2C"/>
    <w:rsid w:val="00587CDB"/>
    <w:rsid w:val="0059021A"/>
    <w:rsid w:val="00590C69"/>
    <w:rsid w:val="00590D3C"/>
    <w:rsid w:val="00590FF9"/>
    <w:rsid w:val="005913AC"/>
    <w:rsid w:val="0059142B"/>
    <w:rsid w:val="005914D0"/>
    <w:rsid w:val="00591603"/>
    <w:rsid w:val="005916B0"/>
    <w:rsid w:val="00591A0E"/>
    <w:rsid w:val="0059297B"/>
    <w:rsid w:val="0059299F"/>
    <w:rsid w:val="00592A3F"/>
    <w:rsid w:val="00592A83"/>
    <w:rsid w:val="00592AA6"/>
    <w:rsid w:val="00592C9E"/>
    <w:rsid w:val="00593AB9"/>
    <w:rsid w:val="00594137"/>
    <w:rsid w:val="0059463C"/>
    <w:rsid w:val="005949F9"/>
    <w:rsid w:val="00594CDC"/>
    <w:rsid w:val="0059501A"/>
    <w:rsid w:val="00595342"/>
    <w:rsid w:val="00595483"/>
    <w:rsid w:val="00596461"/>
    <w:rsid w:val="00596E9A"/>
    <w:rsid w:val="00596FB0"/>
    <w:rsid w:val="00597313"/>
    <w:rsid w:val="0059752E"/>
    <w:rsid w:val="00597DC4"/>
    <w:rsid w:val="005A0030"/>
    <w:rsid w:val="005A01CF"/>
    <w:rsid w:val="005A069D"/>
    <w:rsid w:val="005A0CA1"/>
    <w:rsid w:val="005A0EB1"/>
    <w:rsid w:val="005A11E2"/>
    <w:rsid w:val="005A123E"/>
    <w:rsid w:val="005A137B"/>
    <w:rsid w:val="005A172C"/>
    <w:rsid w:val="005A1840"/>
    <w:rsid w:val="005A1A5C"/>
    <w:rsid w:val="005A3618"/>
    <w:rsid w:val="005A38CB"/>
    <w:rsid w:val="005A3C74"/>
    <w:rsid w:val="005A3D4B"/>
    <w:rsid w:val="005A3DA1"/>
    <w:rsid w:val="005A4656"/>
    <w:rsid w:val="005A4887"/>
    <w:rsid w:val="005A4C3E"/>
    <w:rsid w:val="005A4D18"/>
    <w:rsid w:val="005A50D3"/>
    <w:rsid w:val="005A51FD"/>
    <w:rsid w:val="005A529B"/>
    <w:rsid w:val="005A53B7"/>
    <w:rsid w:val="005A5858"/>
    <w:rsid w:val="005A5909"/>
    <w:rsid w:val="005A5E7F"/>
    <w:rsid w:val="005A66FA"/>
    <w:rsid w:val="005A6967"/>
    <w:rsid w:val="005A6BAD"/>
    <w:rsid w:val="005A6CD1"/>
    <w:rsid w:val="005A6E4E"/>
    <w:rsid w:val="005A6F3A"/>
    <w:rsid w:val="005A70DC"/>
    <w:rsid w:val="005A7538"/>
    <w:rsid w:val="005B009E"/>
    <w:rsid w:val="005B0200"/>
    <w:rsid w:val="005B079D"/>
    <w:rsid w:val="005B0A5F"/>
    <w:rsid w:val="005B0AF5"/>
    <w:rsid w:val="005B0FC6"/>
    <w:rsid w:val="005B0FF6"/>
    <w:rsid w:val="005B272B"/>
    <w:rsid w:val="005B2A96"/>
    <w:rsid w:val="005B3C39"/>
    <w:rsid w:val="005B405E"/>
    <w:rsid w:val="005B470E"/>
    <w:rsid w:val="005B47BD"/>
    <w:rsid w:val="005B481A"/>
    <w:rsid w:val="005B48BC"/>
    <w:rsid w:val="005B48C2"/>
    <w:rsid w:val="005B4BC6"/>
    <w:rsid w:val="005B5470"/>
    <w:rsid w:val="005B5911"/>
    <w:rsid w:val="005B5C48"/>
    <w:rsid w:val="005B5D47"/>
    <w:rsid w:val="005B5F31"/>
    <w:rsid w:val="005B5F3A"/>
    <w:rsid w:val="005B7350"/>
    <w:rsid w:val="005B7376"/>
    <w:rsid w:val="005B76CE"/>
    <w:rsid w:val="005B7845"/>
    <w:rsid w:val="005B7C05"/>
    <w:rsid w:val="005B7CAD"/>
    <w:rsid w:val="005B7EBC"/>
    <w:rsid w:val="005B7F4F"/>
    <w:rsid w:val="005B7FE4"/>
    <w:rsid w:val="005C0980"/>
    <w:rsid w:val="005C0F8D"/>
    <w:rsid w:val="005C0F92"/>
    <w:rsid w:val="005C0F96"/>
    <w:rsid w:val="005C10BA"/>
    <w:rsid w:val="005C114C"/>
    <w:rsid w:val="005C12ED"/>
    <w:rsid w:val="005C18B8"/>
    <w:rsid w:val="005C1919"/>
    <w:rsid w:val="005C2307"/>
    <w:rsid w:val="005C235D"/>
    <w:rsid w:val="005C23C2"/>
    <w:rsid w:val="005C284A"/>
    <w:rsid w:val="005C2B0C"/>
    <w:rsid w:val="005C30E2"/>
    <w:rsid w:val="005C3422"/>
    <w:rsid w:val="005C3ACB"/>
    <w:rsid w:val="005C3AD7"/>
    <w:rsid w:val="005C3B98"/>
    <w:rsid w:val="005C4027"/>
    <w:rsid w:val="005C41DD"/>
    <w:rsid w:val="005C4A32"/>
    <w:rsid w:val="005C4EDF"/>
    <w:rsid w:val="005C53F2"/>
    <w:rsid w:val="005C5E41"/>
    <w:rsid w:val="005C603A"/>
    <w:rsid w:val="005C61CE"/>
    <w:rsid w:val="005C71F2"/>
    <w:rsid w:val="005C725A"/>
    <w:rsid w:val="005C739E"/>
    <w:rsid w:val="005C7738"/>
    <w:rsid w:val="005C7A8D"/>
    <w:rsid w:val="005C7D72"/>
    <w:rsid w:val="005D002A"/>
    <w:rsid w:val="005D0241"/>
    <w:rsid w:val="005D06CF"/>
    <w:rsid w:val="005D0AAE"/>
    <w:rsid w:val="005D0F31"/>
    <w:rsid w:val="005D0F6C"/>
    <w:rsid w:val="005D0F96"/>
    <w:rsid w:val="005D16BC"/>
    <w:rsid w:val="005D16E3"/>
    <w:rsid w:val="005D1B8A"/>
    <w:rsid w:val="005D1E4C"/>
    <w:rsid w:val="005D1E87"/>
    <w:rsid w:val="005D1EA9"/>
    <w:rsid w:val="005D2111"/>
    <w:rsid w:val="005D2CD0"/>
    <w:rsid w:val="005D2FFD"/>
    <w:rsid w:val="005D308A"/>
    <w:rsid w:val="005D32E2"/>
    <w:rsid w:val="005D3319"/>
    <w:rsid w:val="005D3633"/>
    <w:rsid w:val="005D3C4B"/>
    <w:rsid w:val="005D3E80"/>
    <w:rsid w:val="005D4310"/>
    <w:rsid w:val="005D4FCA"/>
    <w:rsid w:val="005D4FFA"/>
    <w:rsid w:val="005D54E4"/>
    <w:rsid w:val="005D552B"/>
    <w:rsid w:val="005D5576"/>
    <w:rsid w:val="005D5745"/>
    <w:rsid w:val="005D594D"/>
    <w:rsid w:val="005D5A9D"/>
    <w:rsid w:val="005D5C8B"/>
    <w:rsid w:val="005D5CF8"/>
    <w:rsid w:val="005D5E42"/>
    <w:rsid w:val="005D6432"/>
    <w:rsid w:val="005D654A"/>
    <w:rsid w:val="005D6FB2"/>
    <w:rsid w:val="005D71FC"/>
    <w:rsid w:val="005D74DB"/>
    <w:rsid w:val="005D770C"/>
    <w:rsid w:val="005D7729"/>
    <w:rsid w:val="005D7FB8"/>
    <w:rsid w:val="005E02AF"/>
    <w:rsid w:val="005E0592"/>
    <w:rsid w:val="005E05D3"/>
    <w:rsid w:val="005E0836"/>
    <w:rsid w:val="005E097C"/>
    <w:rsid w:val="005E0EB2"/>
    <w:rsid w:val="005E0F5B"/>
    <w:rsid w:val="005E140F"/>
    <w:rsid w:val="005E158F"/>
    <w:rsid w:val="005E1C33"/>
    <w:rsid w:val="005E2403"/>
    <w:rsid w:val="005E2564"/>
    <w:rsid w:val="005E26C0"/>
    <w:rsid w:val="005E30D2"/>
    <w:rsid w:val="005E3187"/>
    <w:rsid w:val="005E33D3"/>
    <w:rsid w:val="005E383A"/>
    <w:rsid w:val="005E3A43"/>
    <w:rsid w:val="005E3A49"/>
    <w:rsid w:val="005E4935"/>
    <w:rsid w:val="005E51F6"/>
    <w:rsid w:val="005E557F"/>
    <w:rsid w:val="005E5774"/>
    <w:rsid w:val="005E591D"/>
    <w:rsid w:val="005E5CE7"/>
    <w:rsid w:val="005E5CF2"/>
    <w:rsid w:val="005E678D"/>
    <w:rsid w:val="005E6852"/>
    <w:rsid w:val="005E6CB2"/>
    <w:rsid w:val="005E7026"/>
    <w:rsid w:val="005E7611"/>
    <w:rsid w:val="005E763C"/>
    <w:rsid w:val="005E7871"/>
    <w:rsid w:val="005E7902"/>
    <w:rsid w:val="005E796D"/>
    <w:rsid w:val="005E7AF5"/>
    <w:rsid w:val="005E7E3A"/>
    <w:rsid w:val="005E7EC4"/>
    <w:rsid w:val="005E7FC6"/>
    <w:rsid w:val="005F02FF"/>
    <w:rsid w:val="005F0925"/>
    <w:rsid w:val="005F0A04"/>
    <w:rsid w:val="005F0D9D"/>
    <w:rsid w:val="005F0DB9"/>
    <w:rsid w:val="005F0DFF"/>
    <w:rsid w:val="005F116D"/>
    <w:rsid w:val="005F12CE"/>
    <w:rsid w:val="005F152F"/>
    <w:rsid w:val="005F1618"/>
    <w:rsid w:val="005F17BF"/>
    <w:rsid w:val="005F1962"/>
    <w:rsid w:val="005F1C0C"/>
    <w:rsid w:val="005F1C88"/>
    <w:rsid w:val="005F1C98"/>
    <w:rsid w:val="005F20DA"/>
    <w:rsid w:val="005F3207"/>
    <w:rsid w:val="005F32EA"/>
    <w:rsid w:val="005F397D"/>
    <w:rsid w:val="005F3C9C"/>
    <w:rsid w:val="005F3D2D"/>
    <w:rsid w:val="005F4915"/>
    <w:rsid w:val="005F4C44"/>
    <w:rsid w:val="005F55BC"/>
    <w:rsid w:val="005F57F2"/>
    <w:rsid w:val="005F5985"/>
    <w:rsid w:val="005F5CD4"/>
    <w:rsid w:val="005F5D49"/>
    <w:rsid w:val="005F5EA5"/>
    <w:rsid w:val="005F5F27"/>
    <w:rsid w:val="005F641B"/>
    <w:rsid w:val="005F6568"/>
    <w:rsid w:val="005F68B3"/>
    <w:rsid w:val="005F6A41"/>
    <w:rsid w:val="005F6A56"/>
    <w:rsid w:val="005F70F3"/>
    <w:rsid w:val="005F7565"/>
    <w:rsid w:val="005F7ECA"/>
    <w:rsid w:val="005F7F79"/>
    <w:rsid w:val="00600089"/>
    <w:rsid w:val="00600137"/>
    <w:rsid w:val="006001A9"/>
    <w:rsid w:val="00600CFC"/>
    <w:rsid w:val="00600EF7"/>
    <w:rsid w:val="006012B1"/>
    <w:rsid w:val="00601CDE"/>
    <w:rsid w:val="0060249E"/>
    <w:rsid w:val="00602B03"/>
    <w:rsid w:val="00602BCB"/>
    <w:rsid w:val="006030EF"/>
    <w:rsid w:val="006031F4"/>
    <w:rsid w:val="006036AF"/>
    <w:rsid w:val="0060382B"/>
    <w:rsid w:val="00603CC1"/>
    <w:rsid w:val="00604549"/>
    <w:rsid w:val="00604F03"/>
    <w:rsid w:val="00604F7B"/>
    <w:rsid w:val="00604FE8"/>
    <w:rsid w:val="0060519A"/>
    <w:rsid w:val="006056F9"/>
    <w:rsid w:val="006058BF"/>
    <w:rsid w:val="00605D13"/>
    <w:rsid w:val="00606489"/>
    <w:rsid w:val="00606B4E"/>
    <w:rsid w:val="006070CB"/>
    <w:rsid w:val="00607290"/>
    <w:rsid w:val="006073EE"/>
    <w:rsid w:val="00607C81"/>
    <w:rsid w:val="00607CC4"/>
    <w:rsid w:val="00607CF2"/>
    <w:rsid w:val="006101D7"/>
    <w:rsid w:val="00610287"/>
    <w:rsid w:val="00610612"/>
    <w:rsid w:val="00610784"/>
    <w:rsid w:val="00610CC2"/>
    <w:rsid w:val="00610E05"/>
    <w:rsid w:val="006113F3"/>
    <w:rsid w:val="00611402"/>
    <w:rsid w:val="0061173B"/>
    <w:rsid w:val="00612207"/>
    <w:rsid w:val="0061221B"/>
    <w:rsid w:val="006124B1"/>
    <w:rsid w:val="006126B5"/>
    <w:rsid w:val="00612D5D"/>
    <w:rsid w:val="00612EC1"/>
    <w:rsid w:val="00612F6B"/>
    <w:rsid w:val="00613297"/>
    <w:rsid w:val="00613A19"/>
    <w:rsid w:val="00613CF9"/>
    <w:rsid w:val="006142D5"/>
    <w:rsid w:val="00615B3B"/>
    <w:rsid w:val="00616486"/>
    <w:rsid w:val="00616E5F"/>
    <w:rsid w:val="006174F7"/>
    <w:rsid w:val="00617935"/>
    <w:rsid w:val="00620172"/>
    <w:rsid w:val="00620A19"/>
    <w:rsid w:val="00621412"/>
    <w:rsid w:val="006217DC"/>
    <w:rsid w:val="006217EE"/>
    <w:rsid w:val="006218A1"/>
    <w:rsid w:val="00621BAD"/>
    <w:rsid w:val="00621D4C"/>
    <w:rsid w:val="0062278D"/>
    <w:rsid w:val="00622D02"/>
    <w:rsid w:val="0062358D"/>
    <w:rsid w:val="006236B5"/>
    <w:rsid w:val="0062425A"/>
    <w:rsid w:val="006244EC"/>
    <w:rsid w:val="0062474A"/>
    <w:rsid w:val="00624EB1"/>
    <w:rsid w:val="00625664"/>
    <w:rsid w:val="00625BE1"/>
    <w:rsid w:val="00625DCF"/>
    <w:rsid w:val="006260FE"/>
    <w:rsid w:val="00626319"/>
    <w:rsid w:val="00626814"/>
    <w:rsid w:val="0062698D"/>
    <w:rsid w:val="00626B6C"/>
    <w:rsid w:val="00627247"/>
    <w:rsid w:val="006273E1"/>
    <w:rsid w:val="006279A0"/>
    <w:rsid w:val="00627A3A"/>
    <w:rsid w:val="0063008F"/>
    <w:rsid w:val="00630226"/>
    <w:rsid w:val="0063033F"/>
    <w:rsid w:val="0063062E"/>
    <w:rsid w:val="0063081F"/>
    <w:rsid w:val="00630C65"/>
    <w:rsid w:val="0063173D"/>
    <w:rsid w:val="00631E84"/>
    <w:rsid w:val="006322B7"/>
    <w:rsid w:val="00632376"/>
    <w:rsid w:val="006325F2"/>
    <w:rsid w:val="00632B23"/>
    <w:rsid w:val="00632E1B"/>
    <w:rsid w:val="006337E8"/>
    <w:rsid w:val="006338E4"/>
    <w:rsid w:val="00633B0A"/>
    <w:rsid w:val="00633C38"/>
    <w:rsid w:val="00633C5A"/>
    <w:rsid w:val="00633DF8"/>
    <w:rsid w:val="006340E3"/>
    <w:rsid w:val="0063440B"/>
    <w:rsid w:val="0063546C"/>
    <w:rsid w:val="006359BA"/>
    <w:rsid w:val="00635B45"/>
    <w:rsid w:val="00635C0A"/>
    <w:rsid w:val="00635C69"/>
    <w:rsid w:val="00635FCB"/>
    <w:rsid w:val="006362C2"/>
    <w:rsid w:val="0063649A"/>
    <w:rsid w:val="00636632"/>
    <w:rsid w:val="00636998"/>
    <w:rsid w:val="00636B32"/>
    <w:rsid w:val="00636C3F"/>
    <w:rsid w:val="00636F56"/>
    <w:rsid w:val="0063706A"/>
    <w:rsid w:val="0063711C"/>
    <w:rsid w:val="006372E0"/>
    <w:rsid w:val="006372E1"/>
    <w:rsid w:val="00637411"/>
    <w:rsid w:val="00637BCA"/>
    <w:rsid w:val="00640457"/>
    <w:rsid w:val="006407A8"/>
    <w:rsid w:val="00640B62"/>
    <w:rsid w:val="00640C5F"/>
    <w:rsid w:val="00640DD6"/>
    <w:rsid w:val="00640E99"/>
    <w:rsid w:val="00640F58"/>
    <w:rsid w:val="006413EF"/>
    <w:rsid w:val="00641995"/>
    <w:rsid w:val="00641DBF"/>
    <w:rsid w:val="00642B35"/>
    <w:rsid w:val="00642B56"/>
    <w:rsid w:val="00643193"/>
    <w:rsid w:val="006433D9"/>
    <w:rsid w:val="00643A14"/>
    <w:rsid w:val="00643EEA"/>
    <w:rsid w:val="00644678"/>
    <w:rsid w:val="0064467D"/>
    <w:rsid w:val="00644758"/>
    <w:rsid w:val="006447BD"/>
    <w:rsid w:val="00644942"/>
    <w:rsid w:val="00644A52"/>
    <w:rsid w:val="00644B4C"/>
    <w:rsid w:val="00644B90"/>
    <w:rsid w:val="00644BA4"/>
    <w:rsid w:val="0064555D"/>
    <w:rsid w:val="0064559F"/>
    <w:rsid w:val="00645D21"/>
    <w:rsid w:val="00646270"/>
    <w:rsid w:val="006462A6"/>
    <w:rsid w:val="00646323"/>
    <w:rsid w:val="0064657C"/>
    <w:rsid w:val="00646DDA"/>
    <w:rsid w:val="00646FC8"/>
    <w:rsid w:val="00647532"/>
    <w:rsid w:val="0064763B"/>
    <w:rsid w:val="006477AA"/>
    <w:rsid w:val="00647BBB"/>
    <w:rsid w:val="00647D4B"/>
    <w:rsid w:val="006505AF"/>
    <w:rsid w:val="0065075D"/>
    <w:rsid w:val="006510A5"/>
    <w:rsid w:val="0065127D"/>
    <w:rsid w:val="006514B9"/>
    <w:rsid w:val="006514C7"/>
    <w:rsid w:val="0065157C"/>
    <w:rsid w:val="00651A10"/>
    <w:rsid w:val="00651C52"/>
    <w:rsid w:val="00651E2A"/>
    <w:rsid w:val="0065213A"/>
    <w:rsid w:val="006522EF"/>
    <w:rsid w:val="00652C15"/>
    <w:rsid w:val="00652CCB"/>
    <w:rsid w:val="00652EAE"/>
    <w:rsid w:val="00653323"/>
    <w:rsid w:val="0065335E"/>
    <w:rsid w:val="006533B7"/>
    <w:rsid w:val="006536BE"/>
    <w:rsid w:val="006538EF"/>
    <w:rsid w:val="0065397C"/>
    <w:rsid w:val="00653A60"/>
    <w:rsid w:val="00653B79"/>
    <w:rsid w:val="00653CB7"/>
    <w:rsid w:val="006542C8"/>
    <w:rsid w:val="0065470F"/>
    <w:rsid w:val="00654919"/>
    <w:rsid w:val="00654FDC"/>
    <w:rsid w:val="00655A62"/>
    <w:rsid w:val="006564D2"/>
    <w:rsid w:val="0065678E"/>
    <w:rsid w:val="006570D6"/>
    <w:rsid w:val="00657201"/>
    <w:rsid w:val="00657322"/>
    <w:rsid w:val="00657547"/>
    <w:rsid w:val="0065778B"/>
    <w:rsid w:val="006600CD"/>
    <w:rsid w:val="0066057A"/>
    <w:rsid w:val="00660792"/>
    <w:rsid w:val="006608A1"/>
    <w:rsid w:val="0066152C"/>
    <w:rsid w:val="00661826"/>
    <w:rsid w:val="00661836"/>
    <w:rsid w:val="006619C5"/>
    <w:rsid w:val="00661E2D"/>
    <w:rsid w:val="00661F33"/>
    <w:rsid w:val="00662212"/>
    <w:rsid w:val="0066239F"/>
    <w:rsid w:val="006627F9"/>
    <w:rsid w:val="006632D5"/>
    <w:rsid w:val="00663839"/>
    <w:rsid w:val="0066386E"/>
    <w:rsid w:val="00664250"/>
    <w:rsid w:val="0066448B"/>
    <w:rsid w:val="00664DE4"/>
    <w:rsid w:val="00664EC0"/>
    <w:rsid w:val="006654F2"/>
    <w:rsid w:val="006656F0"/>
    <w:rsid w:val="00665961"/>
    <w:rsid w:val="00665A3A"/>
    <w:rsid w:val="00665C32"/>
    <w:rsid w:val="00665D4F"/>
    <w:rsid w:val="00665DB3"/>
    <w:rsid w:val="00666319"/>
    <w:rsid w:val="00666AAF"/>
    <w:rsid w:val="00666C3A"/>
    <w:rsid w:val="00666D5E"/>
    <w:rsid w:val="00666E50"/>
    <w:rsid w:val="006674B9"/>
    <w:rsid w:val="00667512"/>
    <w:rsid w:val="00667573"/>
    <w:rsid w:val="0066761A"/>
    <w:rsid w:val="006676B5"/>
    <w:rsid w:val="00667AFE"/>
    <w:rsid w:val="00667E48"/>
    <w:rsid w:val="00667E94"/>
    <w:rsid w:val="00667F20"/>
    <w:rsid w:val="00670056"/>
    <w:rsid w:val="00670460"/>
    <w:rsid w:val="0067091B"/>
    <w:rsid w:val="00670B0A"/>
    <w:rsid w:val="00670D09"/>
    <w:rsid w:val="006718AA"/>
    <w:rsid w:val="00671F1D"/>
    <w:rsid w:val="006722C2"/>
    <w:rsid w:val="006727D5"/>
    <w:rsid w:val="0067284E"/>
    <w:rsid w:val="006728CF"/>
    <w:rsid w:val="00672935"/>
    <w:rsid w:val="0067304F"/>
    <w:rsid w:val="00673979"/>
    <w:rsid w:val="00673D93"/>
    <w:rsid w:val="00673E40"/>
    <w:rsid w:val="0067428F"/>
    <w:rsid w:val="00674979"/>
    <w:rsid w:val="00674A91"/>
    <w:rsid w:val="006750D6"/>
    <w:rsid w:val="0067523A"/>
    <w:rsid w:val="00675242"/>
    <w:rsid w:val="0067526A"/>
    <w:rsid w:val="00675DAF"/>
    <w:rsid w:val="0067609B"/>
    <w:rsid w:val="00676157"/>
    <w:rsid w:val="0067631C"/>
    <w:rsid w:val="00676C4C"/>
    <w:rsid w:val="0067722C"/>
    <w:rsid w:val="0067762B"/>
    <w:rsid w:val="006777DA"/>
    <w:rsid w:val="006778BB"/>
    <w:rsid w:val="00677E3F"/>
    <w:rsid w:val="006804B3"/>
    <w:rsid w:val="0068096E"/>
    <w:rsid w:val="00680C10"/>
    <w:rsid w:val="00680D85"/>
    <w:rsid w:val="00681139"/>
    <w:rsid w:val="00681262"/>
    <w:rsid w:val="006814A5"/>
    <w:rsid w:val="0068181F"/>
    <w:rsid w:val="00681983"/>
    <w:rsid w:val="00681B2C"/>
    <w:rsid w:val="00681B4F"/>
    <w:rsid w:val="00681C35"/>
    <w:rsid w:val="00681FC2"/>
    <w:rsid w:val="00681FCD"/>
    <w:rsid w:val="00682C60"/>
    <w:rsid w:val="006837BE"/>
    <w:rsid w:val="00683BFE"/>
    <w:rsid w:val="006844CE"/>
    <w:rsid w:val="006845F4"/>
    <w:rsid w:val="00684A90"/>
    <w:rsid w:val="00684DAA"/>
    <w:rsid w:val="00685144"/>
    <w:rsid w:val="00685198"/>
    <w:rsid w:val="006851E0"/>
    <w:rsid w:val="006854C6"/>
    <w:rsid w:val="006857AE"/>
    <w:rsid w:val="00685804"/>
    <w:rsid w:val="00685831"/>
    <w:rsid w:val="00686076"/>
    <w:rsid w:val="00686317"/>
    <w:rsid w:val="0068643B"/>
    <w:rsid w:val="00687752"/>
    <w:rsid w:val="006877A3"/>
    <w:rsid w:val="006879E3"/>
    <w:rsid w:val="00687E8C"/>
    <w:rsid w:val="00690A39"/>
    <w:rsid w:val="00690F72"/>
    <w:rsid w:val="00691199"/>
    <w:rsid w:val="006915CF"/>
    <w:rsid w:val="0069177F"/>
    <w:rsid w:val="00691ACE"/>
    <w:rsid w:val="00691E4D"/>
    <w:rsid w:val="00692404"/>
    <w:rsid w:val="0069254B"/>
    <w:rsid w:val="006927D8"/>
    <w:rsid w:val="006930CC"/>
    <w:rsid w:val="006932A4"/>
    <w:rsid w:val="0069346E"/>
    <w:rsid w:val="00693590"/>
    <w:rsid w:val="0069363A"/>
    <w:rsid w:val="00693721"/>
    <w:rsid w:val="00693754"/>
    <w:rsid w:val="00693D2F"/>
    <w:rsid w:val="0069447F"/>
    <w:rsid w:val="00694899"/>
    <w:rsid w:val="00694B47"/>
    <w:rsid w:val="00694E36"/>
    <w:rsid w:val="00695078"/>
    <w:rsid w:val="006950AB"/>
    <w:rsid w:val="0069548D"/>
    <w:rsid w:val="00695540"/>
    <w:rsid w:val="00695A4C"/>
    <w:rsid w:val="00695B89"/>
    <w:rsid w:val="00696D42"/>
    <w:rsid w:val="006971C7"/>
    <w:rsid w:val="00697385"/>
    <w:rsid w:val="006974A1"/>
    <w:rsid w:val="006A0B1A"/>
    <w:rsid w:val="006A0CB7"/>
    <w:rsid w:val="006A0F84"/>
    <w:rsid w:val="006A16DA"/>
    <w:rsid w:val="006A1C73"/>
    <w:rsid w:val="006A1CE2"/>
    <w:rsid w:val="006A1F69"/>
    <w:rsid w:val="006A2124"/>
    <w:rsid w:val="006A222F"/>
    <w:rsid w:val="006A24C8"/>
    <w:rsid w:val="006A269F"/>
    <w:rsid w:val="006A2922"/>
    <w:rsid w:val="006A29B7"/>
    <w:rsid w:val="006A30B6"/>
    <w:rsid w:val="006A323E"/>
    <w:rsid w:val="006A420B"/>
    <w:rsid w:val="006A4698"/>
    <w:rsid w:val="006A4E81"/>
    <w:rsid w:val="006A524C"/>
    <w:rsid w:val="006A5314"/>
    <w:rsid w:val="006A61E0"/>
    <w:rsid w:val="006A63EB"/>
    <w:rsid w:val="006A65E5"/>
    <w:rsid w:val="006A766B"/>
    <w:rsid w:val="006A7A49"/>
    <w:rsid w:val="006A7CD8"/>
    <w:rsid w:val="006B00ED"/>
    <w:rsid w:val="006B0334"/>
    <w:rsid w:val="006B0446"/>
    <w:rsid w:val="006B0521"/>
    <w:rsid w:val="006B05B0"/>
    <w:rsid w:val="006B0895"/>
    <w:rsid w:val="006B0BEC"/>
    <w:rsid w:val="006B1074"/>
    <w:rsid w:val="006B189B"/>
    <w:rsid w:val="006B1BAD"/>
    <w:rsid w:val="006B1BB5"/>
    <w:rsid w:val="006B20C2"/>
    <w:rsid w:val="006B2253"/>
    <w:rsid w:val="006B22A5"/>
    <w:rsid w:val="006B255F"/>
    <w:rsid w:val="006B26C7"/>
    <w:rsid w:val="006B2844"/>
    <w:rsid w:val="006B347E"/>
    <w:rsid w:val="006B38DF"/>
    <w:rsid w:val="006B3F7F"/>
    <w:rsid w:val="006B44C9"/>
    <w:rsid w:val="006B45B4"/>
    <w:rsid w:val="006B4E00"/>
    <w:rsid w:val="006B4EF8"/>
    <w:rsid w:val="006B5004"/>
    <w:rsid w:val="006B518F"/>
    <w:rsid w:val="006B58D6"/>
    <w:rsid w:val="006B5990"/>
    <w:rsid w:val="006B65C0"/>
    <w:rsid w:val="006B6628"/>
    <w:rsid w:val="006B68E5"/>
    <w:rsid w:val="006B6902"/>
    <w:rsid w:val="006B7240"/>
    <w:rsid w:val="006B759C"/>
    <w:rsid w:val="006B7A69"/>
    <w:rsid w:val="006B7CB9"/>
    <w:rsid w:val="006B7EFA"/>
    <w:rsid w:val="006C00CC"/>
    <w:rsid w:val="006C0583"/>
    <w:rsid w:val="006C0AF5"/>
    <w:rsid w:val="006C1591"/>
    <w:rsid w:val="006C1610"/>
    <w:rsid w:val="006C18EF"/>
    <w:rsid w:val="006C1D54"/>
    <w:rsid w:val="006C1DE5"/>
    <w:rsid w:val="006C1EC5"/>
    <w:rsid w:val="006C213E"/>
    <w:rsid w:val="006C224B"/>
    <w:rsid w:val="006C27BE"/>
    <w:rsid w:val="006C29A0"/>
    <w:rsid w:val="006C2B1F"/>
    <w:rsid w:val="006C2F5A"/>
    <w:rsid w:val="006C35C9"/>
    <w:rsid w:val="006C3676"/>
    <w:rsid w:val="006C3E70"/>
    <w:rsid w:val="006C4050"/>
    <w:rsid w:val="006C4083"/>
    <w:rsid w:val="006C44B9"/>
    <w:rsid w:val="006C462D"/>
    <w:rsid w:val="006C4F45"/>
    <w:rsid w:val="006C4F8C"/>
    <w:rsid w:val="006C5415"/>
    <w:rsid w:val="006C5936"/>
    <w:rsid w:val="006C59F1"/>
    <w:rsid w:val="006C5C20"/>
    <w:rsid w:val="006C5DE9"/>
    <w:rsid w:val="006C6476"/>
    <w:rsid w:val="006C6A42"/>
    <w:rsid w:val="006C6C49"/>
    <w:rsid w:val="006C7255"/>
    <w:rsid w:val="006C7CF6"/>
    <w:rsid w:val="006D01FB"/>
    <w:rsid w:val="006D0285"/>
    <w:rsid w:val="006D12E1"/>
    <w:rsid w:val="006D135F"/>
    <w:rsid w:val="006D158A"/>
    <w:rsid w:val="006D1AC1"/>
    <w:rsid w:val="006D2401"/>
    <w:rsid w:val="006D2BC7"/>
    <w:rsid w:val="006D330B"/>
    <w:rsid w:val="006D37D2"/>
    <w:rsid w:val="006D3956"/>
    <w:rsid w:val="006D3A49"/>
    <w:rsid w:val="006D3C62"/>
    <w:rsid w:val="006D3DBB"/>
    <w:rsid w:val="006D3DD1"/>
    <w:rsid w:val="006D458A"/>
    <w:rsid w:val="006D46F4"/>
    <w:rsid w:val="006D4E5E"/>
    <w:rsid w:val="006D52B5"/>
    <w:rsid w:val="006D5391"/>
    <w:rsid w:val="006D571E"/>
    <w:rsid w:val="006D5FB1"/>
    <w:rsid w:val="006D61D8"/>
    <w:rsid w:val="006D6961"/>
    <w:rsid w:val="006D6A29"/>
    <w:rsid w:val="006D6BC5"/>
    <w:rsid w:val="006D6C15"/>
    <w:rsid w:val="006D73C9"/>
    <w:rsid w:val="006D7542"/>
    <w:rsid w:val="006D7882"/>
    <w:rsid w:val="006D7A9B"/>
    <w:rsid w:val="006D7BFB"/>
    <w:rsid w:val="006E037E"/>
    <w:rsid w:val="006E0E07"/>
    <w:rsid w:val="006E1056"/>
    <w:rsid w:val="006E14C3"/>
    <w:rsid w:val="006E14D7"/>
    <w:rsid w:val="006E15C0"/>
    <w:rsid w:val="006E1862"/>
    <w:rsid w:val="006E1984"/>
    <w:rsid w:val="006E1E5B"/>
    <w:rsid w:val="006E1F6D"/>
    <w:rsid w:val="006E1FD7"/>
    <w:rsid w:val="006E20B0"/>
    <w:rsid w:val="006E22BD"/>
    <w:rsid w:val="006E24DE"/>
    <w:rsid w:val="006E27BC"/>
    <w:rsid w:val="006E292C"/>
    <w:rsid w:val="006E30CD"/>
    <w:rsid w:val="006E31DE"/>
    <w:rsid w:val="006E35BD"/>
    <w:rsid w:val="006E3B85"/>
    <w:rsid w:val="006E4091"/>
    <w:rsid w:val="006E44AC"/>
    <w:rsid w:val="006E452E"/>
    <w:rsid w:val="006E47A8"/>
    <w:rsid w:val="006E47FD"/>
    <w:rsid w:val="006E4BEB"/>
    <w:rsid w:val="006E541B"/>
    <w:rsid w:val="006E545F"/>
    <w:rsid w:val="006E54D7"/>
    <w:rsid w:val="006E558C"/>
    <w:rsid w:val="006E563C"/>
    <w:rsid w:val="006E5682"/>
    <w:rsid w:val="006E571F"/>
    <w:rsid w:val="006E5799"/>
    <w:rsid w:val="006E599C"/>
    <w:rsid w:val="006E5F14"/>
    <w:rsid w:val="006E62AE"/>
    <w:rsid w:val="006E6B5C"/>
    <w:rsid w:val="006E70AE"/>
    <w:rsid w:val="006E7188"/>
    <w:rsid w:val="006E72E5"/>
    <w:rsid w:val="006E7BC7"/>
    <w:rsid w:val="006E7CD4"/>
    <w:rsid w:val="006F03AF"/>
    <w:rsid w:val="006F0412"/>
    <w:rsid w:val="006F0881"/>
    <w:rsid w:val="006F133F"/>
    <w:rsid w:val="006F1737"/>
    <w:rsid w:val="006F17AF"/>
    <w:rsid w:val="006F24E6"/>
    <w:rsid w:val="006F2521"/>
    <w:rsid w:val="006F28D1"/>
    <w:rsid w:val="006F2C36"/>
    <w:rsid w:val="006F32F8"/>
    <w:rsid w:val="006F3345"/>
    <w:rsid w:val="006F35DD"/>
    <w:rsid w:val="006F36D9"/>
    <w:rsid w:val="006F396B"/>
    <w:rsid w:val="006F3B4A"/>
    <w:rsid w:val="006F446D"/>
    <w:rsid w:val="006F461A"/>
    <w:rsid w:val="006F4651"/>
    <w:rsid w:val="006F46BD"/>
    <w:rsid w:val="006F477D"/>
    <w:rsid w:val="006F4798"/>
    <w:rsid w:val="006F4943"/>
    <w:rsid w:val="006F4967"/>
    <w:rsid w:val="006F4AB0"/>
    <w:rsid w:val="006F4D46"/>
    <w:rsid w:val="006F5B78"/>
    <w:rsid w:val="006F5E96"/>
    <w:rsid w:val="006F5FE0"/>
    <w:rsid w:val="006F616E"/>
    <w:rsid w:val="006F65C8"/>
    <w:rsid w:val="006F6908"/>
    <w:rsid w:val="006F6C7D"/>
    <w:rsid w:val="006F6DAD"/>
    <w:rsid w:val="006F6EF7"/>
    <w:rsid w:val="006F76D7"/>
    <w:rsid w:val="006F7813"/>
    <w:rsid w:val="00700428"/>
    <w:rsid w:val="00700578"/>
    <w:rsid w:val="007014E8"/>
    <w:rsid w:val="007017B2"/>
    <w:rsid w:val="0070184A"/>
    <w:rsid w:val="00701A2C"/>
    <w:rsid w:val="00701D3F"/>
    <w:rsid w:val="0070202F"/>
    <w:rsid w:val="007021A1"/>
    <w:rsid w:val="0070242A"/>
    <w:rsid w:val="007025B7"/>
    <w:rsid w:val="0070271A"/>
    <w:rsid w:val="0070318F"/>
    <w:rsid w:val="00703482"/>
    <w:rsid w:val="0070374F"/>
    <w:rsid w:val="00703DBD"/>
    <w:rsid w:val="00703DDE"/>
    <w:rsid w:val="00703E7F"/>
    <w:rsid w:val="00703FE6"/>
    <w:rsid w:val="00704CC0"/>
    <w:rsid w:val="00705130"/>
    <w:rsid w:val="007055BC"/>
    <w:rsid w:val="00706401"/>
    <w:rsid w:val="00706CF0"/>
    <w:rsid w:val="00706F39"/>
    <w:rsid w:val="00706FB9"/>
    <w:rsid w:val="0070721D"/>
    <w:rsid w:val="00707634"/>
    <w:rsid w:val="007076DB"/>
    <w:rsid w:val="00707C25"/>
    <w:rsid w:val="00707ED1"/>
    <w:rsid w:val="0071010B"/>
    <w:rsid w:val="00710880"/>
    <w:rsid w:val="00710AE4"/>
    <w:rsid w:val="007117B3"/>
    <w:rsid w:val="00711C60"/>
    <w:rsid w:val="00711CF2"/>
    <w:rsid w:val="00711FCF"/>
    <w:rsid w:val="007124CF"/>
    <w:rsid w:val="007129E6"/>
    <w:rsid w:val="00712CD6"/>
    <w:rsid w:val="00712ED4"/>
    <w:rsid w:val="00713389"/>
    <w:rsid w:val="0071394B"/>
    <w:rsid w:val="00713FE6"/>
    <w:rsid w:val="007141EA"/>
    <w:rsid w:val="00714382"/>
    <w:rsid w:val="007143C2"/>
    <w:rsid w:val="007145B8"/>
    <w:rsid w:val="00714670"/>
    <w:rsid w:val="00714F25"/>
    <w:rsid w:val="0071532E"/>
    <w:rsid w:val="007156D0"/>
    <w:rsid w:val="00715886"/>
    <w:rsid w:val="007158C0"/>
    <w:rsid w:val="00716A32"/>
    <w:rsid w:val="00716C52"/>
    <w:rsid w:val="00717552"/>
    <w:rsid w:val="00717AD4"/>
    <w:rsid w:val="00717C46"/>
    <w:rsid w:val="00717E83"/>
    <w:rsid w:val="007200FD"/>
    <w:rsid w:val="007204F8"/>
    <w:rsid w:val="00720910"/>
    <w:rsid w:val="00720FE8"/>
    <w:rsid w:val="00721029"/>
    <w:rsid w:val="00721135"/>
    <w:rsid w:val="00721261"/>
    <w:rsid w:val="007213C7"/>
    <w:rsid w:val="00721CE3"/>
    <w:rsid w:val="00721E0B"/>
    <w:rsid w:val="007227CE"/>
    <w:rsid w:val="00722A8B"/>
    <w:rsid w:val="00723172"/>
    <w:rsid w:val="0072325B"/>
    <w:rsid w:val="007233A0"/>
    <w:rsid w:val="00723957"/>
    <w:rsid w:val="00723B8A"/>
    <w:rsid w:val="00723D8E"/>
    <w:rsid w:val="00724501"/>
    <w:rsid w:val="00725590"/>
    <w:rsid w:val="00725A1B"/>
    <w:rsid w:val="00725A8C"/>
    <w:rsid w:val="00725AD9"/>
    <w:rsid w:val="00725CA2"/>
    <w:rsid w:val="00725D05"/>
    <w:rsid w:val="007262A3"/>
    <w:rsid w:val="0072648C"/>
    <w:rsid w:val="007265D9"/>
    <w:rsid w:val="00726A2D"/>
    <w:rsid w:val="00726CE4"/>
    <w:rsid w:val="007272BE"/>
    <w:rsid w:val="007275EA"/>
    <w:rsid w:val="00727674"/>
    <w:rsid w:val="007278C1"/>
    <w:rsid w:val="007278D3"/>
    <w:rsid w:val="007279AD"/>
    <w:rsid w:val="007279EE"/>
    <w:rsid w:val="00727C67"/>
    <w:rsid w:val="00727CE6"/>
    <w:rsid w:val="00727D98"/>
    <w:rsid w:val="0073045A"/>
    <w:rsid w:val="007307DF"/>
    <w:rsid w:val="0073139E"/>
    <w:rsid w:val="007313A5"/>
    <w:rsid w:val="007316BF"/>
    <w:rsid w:val="00732803"/>
    <w:rsid w:val="00732885"/>
    <w:rsid w:val="0073303B"/>
    <w:rsid w:val="007330AA"/>
    <w:rsid w:val="00733491"/>
    <w:rsid w:val="0073373E"/>
    <w:rsid w:val="0073391D"/>
    <w:rsid w:val="00733A84"/>
    <w:rsid w:val="00734037"/>
    <w:rsid w:val="0073419B"/>
    <w:rsid w:val="00734296"/>
    <w:rsid w:val="007345FC"/>
    <w:rsid w:val="007346B2"/>
    <w:rsid w:val="00734B7E"/>
    <w:rsid w:val="00734C31"/>
    <w:rsid w:val="00734ECA"/>
    <w:rsid w:val="0073510C"/>
    <w:rsid w:val="00735142"/>
    <w:rsid w:val="007353BE"/>
    <w:rsid w:val="007353C4"/>
    <w:rsid w:val="0073582D"/>
    <w:rsid w:val="00735851"/>
    <w:rsid w:val="00735DAE"/>
    <w:rsid w:val="00735FCA"/>
    <w:rsid w:val="007361FF"/>
    <w:rsid w:val="0073679B"/>
    <w:rsid w:val="00737436"/>
    <w:rsid w:val="007378AE"/>
    <w:rsid w:val="00737FD2"/>
    <w:rsid w:val="007400BB"/>
    <w:rsid w:val="0074033F"/>
    <w:rsid w:val="007403C2"/>
    <w:rsid w:val="007406CF"/>
    <w:rsid w:val="00740AA5"/>
    <w:rsid w:val="00740FA0"/>
    <w:rsid w:val="007413BB"/>
    <w:rsid w:val="007414A4"/>
    <w:rsid w:val="00741706"/>
    <w:rsid w:val="007420AF"/>
    <w:rsid w:val="0074236F"/>
    <w:rsid w:val="0074265E"/>
    <w:rsid w:val="0074267F"/>
    <w:rsid w:val="007427F6"/>
    <w:rsid w:val="00742B52"/>
    <w:rsid w:val="00742C6C"/>
    <w:rsid w:val="00742E47"/>
    <w:rsid w:val="0074324C"/>
    <w:rsid w:val="00743455"/>
    <w:rsid w:val="007434D1"/>
    <w:rsid w:val="0074392A"/>
    <w:rsid w:val="00743D2F"/>
    <w:rsid w:val="00744028"/>
    <w:rsid w:val="00744160"/>
    <w:rsid w:val="00744203"/>
    <w:rsid w:val="00744276"/>
    <w:rsid w:val="0074455F"/>
    <w:rsid w:val="007445AA"/>
    <w:rsid w:val="0074505A"/>
    <w:rsid w:val="0074507F"/>
    <w:rsid w:val="007453AA"/>
    <w:rsid w:val="00745998"/>
    <w:rsid w:val="0074605A"/>
    <w:rsid w:val="007460F7"/>
    <w:rsid w:val="007461C8"/>
    <w:rsid w:val="00746429"/>
    <w:rsid w:val="007466F6"/>
    <w:rsid w:val="00746731"/>
    <w:rsid w:val="00746873"/>
    <w:rsid w:val="00746D66"/>
    <w:rsid w:val="00746D95"/>
    <w:rsid w:val="00747379"/>
    <w:rsid w:val="007473D5"/>
    <w:rsid w:val="00747424"/>
    <w:rsid w:val="00747515"/>
    <w:rsid w:val="007479A7"/>
    <w:rsid w:val="00747FCF"/>
    <w:rsid w:val="00750131"/>
    <w:rsid w:val="0075017B"/>
    <w:rsid w:val="0075091E"/>
    <w:rsid w:val="0075092E"/>
    <w:rsid w:val="00750962"/>
    <w:rsid w:val="007509BE"/>
    <w:rsid w:val="007518BA"/>
    <w:rsid w:val="00751CE9"/>
    <w:rsid w:val="00751EEC"/>
    <w:rsid w:val="00751F40"/>
    <w:rsid w:val="00751F69"/>
    <w:rsid w:val="00752003"/>
    <w:rsid w:val="0075211D"/>
    <w:rsid w:val="00752590"/>
    <w:rsid w:val="007527CC"/>
    <w:rsid w:val="00752914"/>
    <w:rsid w:val="00752D4D"/>
    <w:rsid w:val="0075357B"/>
    <w:rsid w:val="00753844"/>
    <w:rsid w:val="00753D4B"/>
    <w:rsid w:val="00753DDD"/>
    <w:rsid w:val="0075412A"/>
    <w:rsid w:val="00754D4B"/>
    <w:rsid w:val="00754D6A"/>
    <w:rsid w:val="00754DE7"/>
    <w:rsid w:val="00754ECC"/>
    <w:rsid w:val="00755135"/>
    <w:rsid w:val="0075528E"/>
    <w:rsid w:val="00755500"/>
    <w:rsid w:val="00755C73"/>
    <w:rsid w:val="00755D1F"/>
    <w:rsid w:val="00756082"/>
    <w:rsid w:val="007563FE"/>
    <w:rsid w:val="00756676"/>
    <w:rsid w:val="00756ADD"/>
    <w:rsid w:val="0075713E"/>
    <w:rsid w:val="00757448"/>
    <w:rsid w:val="00757809"/>
    <w:rsid w:val="007600C3"/>
    <w:rsid w:val="00760281"/>
    <w:rsid w:val="00760C5C"/>
    <w:rsid w:val="00760E3E"/>
    <w:rsid w:val="0076102B"/>
    <w:rsid w:val="007616C5"/>
    <w:rsid w:val="007619DD"/>
    <w:rsid w:val="00761FAA"/>
    <w:rsid w:val="0076227B"/>
    <w:rsid w:val="007626AE"/>
    <w:rsid w:val="00762A17"/>
    <w:rsid w:val="00762A80"/>
    <w:rsid w:val="00762B6F"/>
    <w:rsid w:val="00764D51"/>
    <w:rsid w:val="00764E08"/>
    <w:rsid w:val="00764F93"/>
    <w:rsid w:val="00765085"/>
    <w:rsid w:val="00765F8E"/>
    <w:rsid w:val="0076604B"/>
    <w:rsid w:val="00766073"/>
    <w:rsid w:val="00766B3C"/>
    <w:rsid w:val="00766CF7"/>
    <w:rsid w:val="00766FD6"/>
    <w:rsid w:val="00767249"/>
    <w:rsid w:val="00767981"/>
    <w:rsid w:val="00767A88"/>
    <w:rsid w:val="00767ACB"/>
    <w:rsid w:val="00767D13"/>
    <w:rsid w:val="007700BD"/>
    <w:rsid w:val="007707FF"/>
    <w:rsid w:val="00771011"/>
    <w:rsid w:val="007717B6"/>
    <w:rsid w:val="00771D3E"/>
    <w:rsid w:val="00771F19"/>
    <w:rsid w:val="007720A2"/>
    <w:rsid w:val="00772106"/>
    <w:rsid w:val="00772268"/>
    <w:rsid w:val="007722E1"/>
    <w:rsid w:val="0077287B"/>
    <w:rsid w:val="00773015"/>
    <w:rsid w:val="00773303"/>
    <w:rsid w:val="007738EC"/>
    <w:rsid w:val="00773F70"/>
    <w:rsid w:val="00773F9B"/>
    <w:rsid w:val="00774309"/>
    <w:rsid w:val="00774407"/>
    <w:rsid w:val="007747EF"/>
    <w:rsid w:val="00774E0E"/>
    <w:rsid w:val="00774E60"/>
    <w:rsid w:val="00774ED7"/>
    <w:rsid w:val="00774EE3"/>
    <w:rsid w:val="00774F47"/>
    <w:rsid w:val="0077550C"/>
    <w:rsid w:val="0077592F"/>
    <w:rsid w:val="007761F4"/>
    <w:rsid w:val="00776237"/>
    <w:rsid w:val="0077665C"/>
    <w:rsid w:val="007767CA"/>
    <w:rsid w:val="00776B19"/>
    <w:rsid w:val="007772D2"/>
    <w:rsid w:val="00777471"/>
    <w:rsid w:val="007777AF"/>
    <w:rsid w:val="00780453"/>
    <w:rsid w:val="007805AE"/>
    <w:rsid w:val="007805C2"/>
    <w:rsid w:val="007805D2"/>
    <w:rsid w:val="00780E0E"/>
    <w:rsid w:val="007810D0"/>
    <w:rsid w:val="0078149B"/>
    <w:rsid w:val="0078166E"/>
    <w:rsid w:val="0078173F"/>
    <w:rsid w:val="00781D26"/>
    <w:rsid w:val="00781E8A"/>
    <w:rsid w:val="007821D9"/>
    <w:rsid w:val="00782370"/>
    <w:rsid w:val="00782638"/>
    <w:rsid w:val="0078278F"/>
    <w:rsid w:val="00782898"/>
    <w:rsid w:val="007829F3"/>
    <w:rsid w:val="00782C98"/>
    <w:rsid w:val="00783082"/>
    <w:rsid w:val="007831B9"/>
    <w:rsid w:val="00783389"/>
    <w:rsid w:val="007835CB"/>
    <w:rsid w:val="007838B4"/>
    <w:rsid w:val="00783D0E"/>
    <w:rsid w:val="00784180"/>
    <w:rsid w:val="007842A8"/>
    <w:rsid w:val="00784395"/>
    <w:rsid w:val="007844C2"/>
    <w:rsid w:val="00785C6D"/>
    <w:rsid w:val="00785EC3"/>
    <w:rsid w:val="007860E8"/>
    <w:rsid w:val="00786418"/>
    <w:rsid w:val="007865F1"/>
    <w:rsid w:val="00786BBF"/>
    <w:rsid w:val="00786BEF"/>
    <w:rsid w:val="00787273"/>
    <w:rsid w:val="0078789B"/>
    <w:rsid w:val="00787B81"/>
    <w:rsid w:val="00787BDF"/>
    <w:rsid w:val="00790156"/>
    <w:rsid w:val="00790367"/>
    <w:rsid w:val="00790C39"/>
    <w:rsid w:val="00790C85"/>
    <w:rsid w:val="00791317"/>
    <w:rsid w:val="00792928"/>
    <w:rsid w:val="00792BC9"/>
    <w:rsid w:val="00792D05"/>
    <w:rsid w:val="00792D80"/>
    <w:rsid w:val="00792F49"/>
    <w:rsid w:val="00793017"/>
    <w:rsid w:val="007930FE"/>
    <w:rsid w:val="007931C9"/>
    <w:rsid w:val="007932EE"/>
    <w:rsid w:val="0079334D"/>
    <w:rsid w:val="0079379F"/>
    <w:rsid w:val="0079425F"/>
    <w:rsid w:val="00794976"/>
    <w:rsid w:val="00795D98"/>
    <w:rsid w:val="007960DF"/>
    <w:rsid w:val="0079689C"/>
    <w:rsid w:val="007968AF"/>
    <w:rsid w:val="00796B2F"/>
    <w:rsid w:val="00796C16"/>
    <w:rsid w:val="00796D49"/>
    <w:rsid w:val="007970A1"/>
    <w:rsid w:val="00797377"/>
    <w:rsid w:val="007974E7"/>
    <w:rsid w:val="007975D0"/>
    <w:rsid w:val="007975D5"/>
    <w:rsid w:val="00797943"/>
    <w:rsid w:val="00797C1E"/>
    <w:rsid w:val="00797E5A"/>
    <w:rsid w:val="007A0CA9"/>
    <w:rsid w:val="007A0F33"/>
    <w:rsid w:val="007A1394"/>
    <w:rsid w:val="007A1623"/>
    <w:rsid w:val="007A1DFD"/>
    <w:rsid w:val="007A254B"/>
    <w:rsid w:val="007A2832"/>
    <w:rsid w:val="007A2C70"/>
    <w:rsid w:val="007A325E"/>
    <w:rsid w:val="007A37E5"/>
    <w:rsid w:val="007A38C4"/>
    <w:rsid w:val="007A39E8"/>
    <w:rsid w:val="007A3E3D"/>
    <w:rsid w:val="007A4367"/>
    <w:rsid w:val="007A4372"/>
    <w:rsid w:val="007A45B0"/>
    <w:rsid w:val="007A4834"/>
    <w:rsid w:val="007A496E"/>
    <w:rsid w:val="007A4BB4"/>
    <w:rsid w:val="007A4C45"/>
    <w:rsid w:val="007A4DDC"/>
    <w:rsid w:val="007A558A"/>
    <w:rsid w:val="007A56DC"/>
    <w:rsid w:val="007A6698"/>
    <w:rsid w:val="007A7231"/>
    <w:rsid w:val="007A7776"/>
    <w:rsid w:val="007A7C05"/>
    <w:rsid w:val="007A7D09"/>
    <w:rsid w:val="007A7E1F"/>
    <w:rsid w:val="007B0AE3"/>
    <w:rsid w:val="007B0F9A"/>
    <w:rsid w:val="007B0FBF"/>
    <w:rsid w:val="007B1050"/>
    <w:rsid w:val="007B1679"/>
    <w:rsid w:val="007B171D"/>
    <w:rsid w:val="007B1816"/>
    <w:rsid w:val="007B19D5"/>
    <w:rsid w:val="007B1E22"/>
    <w:rsid w:val="007B20F6"/>
    <w:rsid w:val="007B257E"/>
    <w:rsid w:val="007B258C"/>
    <w:rsid w:val="007B28F1"/>
    <w:rsid w:val="007B3016"/>
    <w:rsid w:val="007B3155"/>
    <w:rsid w:val="007B3320"/>
    <w:rsid w:val="007B33A8"/>
    <w:rsid w:val="007B487F"/>
    <w:rsid w:val="007B4B7D"/>
    <w:rsid w:val="007B4BC5"/>
    <w:rsid w:val="007B4C0B"/>
    <w:rsid w:val="007B529A"/>
    <w:rsid w:val="007B53EA"/>
    <w:rsid w:val="007B5898"/>
    <w:rsid w:val="007B5923"/>
    <w:rsid w:val="007B5AE4"/>
    <w:rsid w:val="007B5CBC"/>
    <w:rsid w:val="007B5DCD"/>
    <w:rsid w:val="007B6152"/>
    <w:rsid w:val="007B627B"/>
    <w:rsid w:val="007B654B"/>
    <w:rsid w:val="007B685C"/>
    <w:rsid w:val="007B6D6F"/>
    <w:rsid w:val="007B6E26"/>
    <w:rsid w:val="007B71A3"/>
    <w:rsid w:val="007B720C"/>
    <w:rsid w:val="007B7212"/>
    <w:rsid w:val="007B7572"/>
    <w:rsid w:val="007B7F71"/>
    <w:rsid w:val="007C01F1"/>
    <w:rsid w:val="007C117F"/>
    <w:rsid w:val="007C2117"/>
    <w:rsid w:val="007C21E5"/>
    <w:rsid w:val="007C2464"/>
    <w:rsid w:val="007C2A39"/>
    <w:rsid w:val="007C2BD9"/>
    <w:rsid w:val="007C2F96"/>
    <w:rsid w:val="007C314E"/>
    <w:rsid w:val="007C322E"/>
    <w:rsid w:val="007C357B"/>
    <w:rsid w:val="007C37EB"/>
    <w:rsid w:val="007C3D12"/>
    <w:rsid w:val="007C48D6"/>
    <w:rsid w:val="007C4B07"/>
    <w:rsid w:val="007C566B"/>
    <w:rsid w:val="007C58FA"/>
    <w:rsid w:val="007C5F68"/>
    <w:rsid w:val="007C6051"/>
    <w:rsid w:val="007C68E1"/>
    <w:rsid w:val="007C698B"/>
    <w:rsid w:val="007C6BE5"/>
    <w:rsid w:val="007C6C9A"/>
    <w:rsid w:val="007C6E7E"/>
    <w:rsid w:val="007C7421"/>
    <w:rsid w:val="007C77CB"/>
    <w:rsid w:val="007C796E"/>
    <w:rsid w:val="007D015D"/>
    <w:rsid w:val="007D01E9"/>
    <w:rsid w:val="007D0BC0"/>
    <w:rsid w:val="007D0D30"/>
    <w:rsid w:val="007D0E0F"/>
    <w:rsid w:val="007D0EAD"/>
    <w:rsid w:val="007D13E4"/>
    <w:rsid w:val="007D1A7D"/>
    <w:rsid w:val="007D1DB3"/>
    <w:rsid w:val="007D1F65"/>
    <w:rsid w:val="007D290A"/>
    <w:rsid w:val="007D2B3B"/>
    <w:rsid w:val="007D2FE3"/>
    <w:rsid w:val="007D3603"/>
    <w:rsid w:val="007D39ED"/>
    <w:rsid w:val="007D3BF0"/>
    <w:rsid w:val="007D4060"/>
    <w:rsid w:val="007D447C"/>
    <w:rsid w:val="007D488F"/>
    <w:rsid w:val="007D4C60"/>
    <w:rsid w:val="007D51F6"/>
    <w:rsid w:val="007D595F"/>
    <w:rsid w:val="007D59E6"/>
    <w:rsid w:val="007D5A96"/>
    <w:rsid w:val="007D6110"/>
    <w:rsid w:val="007D6281"/>
    <w:rsid w:val="007D6474"/>
    <w:rsid w:val="007D671F"/>
    <w:rsid w:val="007D6E0A"/>
    <w:rsid w:val="007D7600"/>
    <w:rsid w:val="007D7671"/>
    <w:rsid w:val="007D77A8"/>
    <w:rsid w:val="007D7ABD"/>
    <w:rsid w:val="007D7B36"/>
    <w:rsid w:val="007E0183"/>
    <w:rsid w:val="007E0ACF"/>
    <w:rsid w:val="007E0E4A"/>
    <w:rsid w:val="007E18F0"/>
    <w:rsid w:val="007E198F"/>
    <w:rsid w:val="007E1B26"/>
    <w:rsid w:val="007E283D"/>
    <w:rsid w:val="007E2E23"/>
    <w:rsid w:val="007E310C"/>
    <w:rsid w:val="007E3394"/>
    <w:rsid w:val="007E35DF"/>
    <w:rsid w:val="007E42BA"/>
    <w:rsid w:val="007E4BBD"/>
    <w:rsid w:val="007E4FF1"/>
    <w:rsid w:val="007E502D"/>
    <w:rsid w:val="007E505E"/>
    <w:rsid w:val="007E5172"/>
    <w:rsid w:val="007E600B"/>
    <w:rsid w:val="007E610A"/>
    <w:rsid w:val="007E65B2"/>
    <w:rsid w:val="007E65C9"/>
    <w:rsid w:val="007E705B"/>
    <w:rsid w:val="007E7114"/>
    <w:rsid w:val="007E7622"/>
    <w:rsid w:val="007E769D"/>
    <w:rsid w:val="007F0DEA"/>
    <w:rsid w:val="007F153E"/>
    <w:rsid w:val="007F16A1"/>
    <w:rsid w:val="007F20B3"/>
    <w:rsid w:val="007F2411"/>
    <w:rsid w:val="007F27F2"/>
    <w:rsid w:val="007F2EE7"/>
    <w:rsid w:val="007F32DE"/>
    <w:rsid w:val="007F35A4"/>
    <w:rsid w:val="007F3948"/>
    <w:rsid w:val="007F3EDB"/>
    <w:rsid w:val="007F457F"/>
    <w:rsid w:val="007F4B8B"/>
    <w:rsid w:val="007F512D"/>
    <w:rsid w:val="007F5327"/>
    <w:rsid w:val="007F587C"/>
    <w:rsid w:val="007F5D66"/>
    <w:rsid w:val="007F77B4"/>
    <w:rsid w:val="007F79D9"/>
    <w:rsid w:val="007F7A62"/>
    <w:rsid w:val="007F7BDB"/>
    <w:rsid w:val="008000C2"/>
    <w:rsid w:val="00800169"/>
    <w:rsid w:val="00800585"/>
    <w:rsid w:val="00800EBC"/>
    <w:rsid w:val="00800EEE"/>
    <w:rsid w:val="00801483"/>
    <w:rsid w:val="00801619"/>
    <w:rsid w:val="0080169D"/>
    <w:rsid w:val="00801DE6"/>
    <w:rsid w:val="0080298D"/>
    <w:rsid w:val="00802B40"/>
    <w:rsid w:val="00802B49"/>
    <w:rsid w:val="00803B6E"/>
    <w:rsid w:val="00803C01"/>
    <w:rsid w:val="00803CB7"/>
    <w:rsid w:val="00803E3D"/>
    <w:rsid w:val="0080464D"/>
    <w:rsid w:val="008046A1"/>
    <w:rsid w:val="008046F1"/>
    <w:rsid w:val="00804D9D"/>
    <w:rsid w:val="0080516A"/>
    <w:rsid w:val="00805BD5"/>
    <w:rsid w:val="00805C2C"/>
    <w:rsid w:val="00805C54"/>
    <w:rsid w:val="008063B3"/>
    <w:rsid w:val="00806635"/>
    <w:rsid w:val="0080686A"/>
    <w:rsid w:val="008069F9"/>
    <w:rsid w:val="00806A1F"/>
    <w:rsid w:val="00806F99"/>
    <w:rsid w:val="00807025"/>
    <w:rsid w:val="00807093"/>
    <w:rsid w:val="0080719F"/>
    <w:rsid w:val="00807899"/>
    <w:rsid w:val="00807B18"/>
    <w:rsid w:val="00807BA7"/>
    <w:rsid w:val="00807BCF"/>
    <w:rsid w:val="00807CCE"/>
    <w:rsid w:val="00807E00"/>
    <w:rsid w:val="00810136"/>
    <w:rsid w:val="00810240"/>
    <w:rsid w:val="008102A8"/>
    <w:rsid w:val="00810322"/>
    <w:rsid w:val="0081051F"/>
    <w:rsid w:val="00810C7B"/>
    <w:rsid w:val="00811041"/>
    <w:rsid w:val="008116F7"/>
    <w:rsid w:val="00811EE5"/>
    <w:rsid w:val="008124F6"/>
    <w:rsid w:val="0081254A"/>
    <w:rsid w:val="0081257B"/>
    <w:rsid w:val="00812E0F"/>
    <w:rsid w:val="00813914"/>
    <w:rsid w:val="00813AD4"/>
    <w:rsid w:val="00813AEA"/>
    <w:rsid w:val="00814434"/>
    <w:rsid w:val="0081452D"/>
    <w:rsid w:val="00814B62"/>
    <w:rsid w:val="00814FCB"/>
    <w:rsid w:val="008153D2"/>
    <w:rsid w:val="00815468"/>
    <w:rsid w:val="008155FD"/>
    <w:rsid w:val="00815A70"/>
    <w:rsid w:val="00815F1A"/>
    <w:rsid w:val="00815F81"/>
    <w:rsid w:val="00815FD2"/>
    <w:rsid w:val="0081645C"/>
    <w:rsid w:val="008167F3"/>
    <w:rsid w:val="00816BF7"/>
    <w:rsid w:val="00816C1A"/>
    <w:rsid w:val="00816D71"/>
    <w:rsid w:val="008170B4"/>
    <w:rsid w:val="0081712F"/>
    <w:rsid w:val="0081742F"/>
    <w:rsid w:val="00817BF6"/>
    <w:rsid w:val="00820132"/>
    <w:rsid w:val="0082030B"/>
    <w:rsid w:val="008209EE"/>
    <w:rsid w:val="00820ED7"/>
    <w:rsid w:val="008212A8"/>
    <w:rsid w:val="0082193E"/>
    <w:rsid w:val="00821E4F"/>
    <w:rsid w:val="00822005"/>
    <w:rsid w:val="00822312"/>
    <w:rsid w:val="00822670"/>
    <w:rsid w:val="00822776"/>
    <w:rsid w:val="00822ABB"/>
    <w:rsid w:val="0082315E"/>
    <w:rsid w:val="00824AE8"/>
    <w:rsid w:val="00825362"/>
    <w:rsid w:val="00825A94"/>
    <w:rsid w:val="00825FCA"/>
    <w:rsid w:val="008261EA"/>
    <w:rsid w:val="0082625F"/>
    <w:rsid w:val="00826295"/>
    <w:rsid w:val="008277B4"/>
    <w:rsid w:val="00827DE0"/>
    <w:rsid w:val="0083052E"/>
    <w:rsid w:val="00830AD3"/>
    <w:rsid w:val="00830D4A"/>
    <w:rsid w:val="00831322"/>
    <w:rsid w:val="008313B6"/>
    <w:rsid w:val="008315D3"/>
    <w:rsid w:val="008316ED"/>
    <w:rsid w:val="00831887"/>
    <w:rsid w:val="00831C10"/>
    <w:rsid w:val="00832140"/>
    <w:rsid w:val="00832625"/>
    <w:rsid w:val="00832729"/>
    <w:rsid w:val="00832F2E"/>
    <w:rsid w:val="00833242"/>
    <w:rsid w:val="00833A12"/>
    <w:rsid w:val="00833AE9"/>
    <w:rsid w:val="00833C7D"/>
    <w:rsid w:val="00833E51"/>
    <w:rsid w:val="0083449E"/>
    <w:rsid w:val="008348EF"/>
    <w:rsid w:val="00834AE5"/>
    <w:rsid w:val="00834BCC"/>
    <w:rsid w:val="008350F3"/>
    <w:rsid w:val="00835286"/>
    <w:rsid w:val="0083528E"/>
    <w:rsid w:val="008355E2"/>
    <w:rsid w:val="008356BB"/>
    <w:rsid w:val="0083580D"/>
    <w:rsid w:val="00835876"/>
    <w:rsid w:val="00835CAB"/>
    <w:rsid w:val="00835F2F"/>
    <w:rsid w:val="0083606A"/>
    <w:rsid w:val="00836493"/>
    <w:rsid w:val="0083677D"/>
    <w:rsid w:val="00836EEB"/>
    <w:rsid w:val="0083702E"/>
    <w:rsid w:val="0083729D"/>
    <w:rsid w:val="008377CE"/>
    <w:rsid w:val="008404B3"/>
    <w:rsid w:val="00840549"/>
    <w:rsid w:val="008405EF"/>
    <w:rsid w:val="00840A2E"/>
    <w:rsid w:val="00840DFD"/>
    <w:rsid w:val="00840FDF"/>
    <w:rsid w:val="00841145"/>
    <w:rsid w:val="00841275"/>
    <w:rsid w:val="00841317"/>
    <w:rsid w:val="00841796"/>
    <w:rsid w:val="00841A6C"/>
    <w:rsid w:val="00841D66"/>
    <w:rsid w:val="00842118"/>
    <w:rsid w:val="0084228D"/>
    <w:rsid w:val="0084268D"/>
    <w:rsid w:val="00842A14"/>
    <w:rsid w:val="00842ADA"/>
    <w:rsid w:val="00842B7E"/>
    <w:rsid w:val="00842FAE"/>
    <w:rsid w:val="00843B44"/>
    <w:rsid w:val="00843FEB"/>
    <w:rsid w:val="00844147"/>
    <w:rsid w:val="0084422C"/>
    <w:rsid w:val="00844300"/>
    <w:rsid w:val="0084435D"/>
    <w:rsid w:val="0084466B"/>
    <w:rsid w:val="00844B26"/>
    <w:rsid w:val="00844B44"/>
    <w:rsid w:val="0084574C"/>
    <w:rsid w:val="008459EE"/>
    <w:rsid w:val="00845D5B"/>
    <w:rsid w:val="008465B4"/>
    <w:rsid w:val="00846B53"/>
    <w:rsid w:val="00846F45"/>
    <w:rsid w:val="00846F76"/>
    <w:rsid w:val="0084713F"/>
    <w:rsid w:val="00847A12"/>
    <w:rsid w:val="00847C56"/>
    <w:rsid w:val="00850A46"/>
    <w:rsid w:val="008511C9"/>
    <w:rsid w:val="008515E8"/>
    <w:rsid w:val="00851EA6"/>
    <w:rsid w:val="008527DF"/>
    <w:rsid w:val="00852994"/>
    <w:rsid w:val="00852A11"/>
    <w:rsid w:val="00852DD2"/>
    <w:rsid w:val="00853994"/>
    <w:rsid w:val="00853F9F"/>
    <w:rsid w:val="008542E4"/>
    <w:rsid w:val="00854B28"/>
    <w:rsid w:val="00855303"/>
    <w:rsid w:val="0085559B"/>
    <w:rsid w:val="0085595F"/>
    <w:rsid w:val="00855A74"/>
    <w:rsid w:val="00855FAB"/>
    <w:rsid w:val="0085656F"/>
    <w:rsid w:val="008568A3"/>
    <w:rsid w:val="00856938"/>
    <w:rsid w:val="00856980"/>
    <w:rsid w:val="00856CB1"/>
    <w:rsid w:val="008572C9"/>
    <w:rsid w:val="00857347"/>
    <w:rsid w:val="00857924"/>
    <w:rsid w:val="00857BA6"/>
    <w:rsid w:val="00860A49"/>
    <w:rsid w:val="00860CF0"/>
    <w:rsid w:val="00860E68"/>
    <w:rsid w:val="00860E7D"/>
    <w:rsid w:val="00863628"/>
    <w:rsid w:val="00863971"/>
    <w:rsid w:val="00863B55"/>
    <w:rsid w:val="0086422C"/>
    <w:rsid w:val="0086441D"/>
    <w:rsid w:val="00864B14"/>
    <w:rsid w:val="00864C96"/>
    <w:rsid w:val="00864F3A"/>
    <w:rsid w:val="00864FD2"/>
    <w:rsid w:val="00865134"/>
    <w:rsid w:val="008654F6"/>
    <w:rsid w:val="00865630"/>
    <w:rsid w:val="00865B6C"/>
    <w:rsid w:val="00865FAC"/>
    <w:rsid w:val="00866A92"/>
    <w:rsid w:val="00866BF6"/>
    <w:rsid w:val="00866F41"/>
    <w:rsid w:val="00867488"/>
    <w:rsid w:val="00867657"/>
    <w:rsid w:val="00867E13"/>
    <w:rsid w:val="008703F8"/>
    <w:rsid w:val="008707DB"/>
    <w:rsid w:val="00870BB7"/>
    <w:rsid w:val="008710EB"/>
    <w:rsid w:val="0087111E"/>
    <w:rsid w:val="008711D3"/>
    <w:rsid w:val="0087124C"/>
    <w:rsid w:val="0087192C"/>
    <w:rsid w:val="008725D3"/>
    <w:rsid w:val="00872E71"/>
    <w:rsid w:val="008731B0"/>
    <w:rsid w:val="00873442"/>
    <w:rsid w:val="00873D8A"/>
    <w:rsid w:val="00873FFA"/>
    <w:rsid w:val="0087428A"/>
    <w:rsid w:val="0087496B"/>
    <w:rsid w:val="00874A2D"/>
    <w:rsid w:val="00874ADD"/>
    <w:rsid w:val="00874F1F"/>
    <w:rsid w:val="00875487"/>
    <w:rsid w:val="008759DC"/>
    <w:rsid w:val="00875D34"/>
    <w:rsid w:val="00876138"/>
    <w:rsid w:val="0087654B"/>
    <w:rsid w:val="00876C3F"/>
    <w:rsid w:val="0087748B"/>
    <w:rsid w:val="008774C7"/>
    <w:rsid w:val="00877774"/>
    <w:rsid w:val="008777FE"/>
    <w:rsid w:val="008778A1"/>
    <w:rsid w:val="00877E1A"/>
    <w:rsid w:val="00877EEB"/>
    <w:rsid w:val="008806B6"/>
    <w:rsid w:val="00881581"/>
    <w:rsid w:val="0088186D"/>
    <w:rsid w:val="00881FF1"/>
    <w:rsid w:val="0088228B"/>
    <w:rsid w:val="0088273B"/>
    <w:rsid w:val="008829ED"/>
    <w:rsid w:val="00883663"/>
    <w:rsid w:val="00883A1E"/>
    <w:rsid w:val="00883F90"/>
    <w:rsid w:val="0088438C"/>
    <w:rsid w:val="00884857"/>
    <w:rsid w:val="00884AA8"/>
    <w:rsid w:val="00884C27"/>
    <w:rsid w:val="00884F9E"/>
    <w:rsid w:val="008854D8"/>
    <w:rsid w:val="00885641"/>
    <w:rsid w:val="00885756"/>
    <w:rsid w:val="008858AF"/>
    <w:rsid w:val="00885F25"/>
    <w:rsid w:val="0088613E"/>
    <w:rsid w:val="00886B6D"/>
    <w:rsid w:val="00886DEC"/>
    <w:rsid w:val="008870D2"/>
    <w:rsid w:val="00887220"/>
    <w:rsid w:val="008872AE"/>
    <w:rsid w:val="00887603"/>
    <w:rsid w:val="008902C1"/>
    <w:rsid w:val="00890438"/>
    <w:rsid w:val="00890492"/>
    <w:rsid w:val="008906A2"/>
    <w:rsid w:val="00890983"/>
    <w:rsid w:val="00890D2B"/>
    <w:rsid w:val="00892407"/>
    <w:rsid w:val="008927AB"/>
    <w:rsid w:val="008928DC"/>
    <w:rsid w:val="00892940"/>
    <w:rsid w:val="00892A67"/>
    <w:rsid w:val="00892B88"/>
    <w:rsid w:val="00892D26"/>
    <w:rsid w:val="00892DA7"/>
    <w:rsid w:val="00892F0C"/>
    <w:rsid w:val="00893011"/>
    <w:rsid w:val="0089307C"/>
    <w:rsid w:val="008933A4"/>
    <w:rsid w:val="00893B40"/>
    <w:rsid w:val="00893BC7"/>
    <w:rsid w:val="0089408E"/>
    <w:rsid w:val="008941D7"/>
    <w:rsid w:val="008943FC"/>
    <w:rsid w:val="00894683"/>
    <w:rsid w:val="008949ED"/>
    <w:rsid w:val="00894F01"/>
    <w:rsid w:val="008952CB"/>
    <w:rsid w:val="00895315"/>
    <w:rsid w:val="0089584E"/>
    <w:rsid w:val="008961A6"/>
    <w:rsid w:val="00896313"/>
    <w:rsid w:val="0089631B"/>
    <w:rsid w:val="00896850"/>
    <w:rsid w:val="00896C4F"/>
    <w:rsid w:val="00896D66"/>
    <w:rsid w:val="00897919"/>
    <w:rsid w:val="008A0FAE"/>
    <w:rsid w:val="008A147F"/>
    <w:rsid w:val="008A1A4A"/>
    <w:rsid w:val="008A2897"/>
    <w:rsid w:val="008A289D"/>
    <w:rsid w:val="008A293D"/>
    <w:rsid w:val="008A33FD"/>
    <w:rsid w:val="008A3422"/>
    <w:rsid w:val="008A35AF"/>
    <w:rsid w:val="008A38B7"/>
    <w:rsid w:val="008A3BDD"/>
    <w:rsid w:val="008A3E61"/>
    <w:rsid w:val="008A3F36"/>
    <w:rsid w:val="008A4209"/>
    <w:rsid w:val="008A43DC"/>
    <w:rsid w:val="008A4EAE"/>
    <w:rsid w:val="008A5336"/>
    <w:rsid w:val="008A53BD"/>
    <w:rsid w:val="008A5531"/>
    <w:rsid w:val="008A5C56"/>
    <w:rsid w:val="008A5F24"/>
    <w:rsid w:val="008A6169"/>
    <w:rsid w:val="008A64F8"/>
    <w:rsid w:val="008A6EB0"/>
    <w:rsid w:val="008A7062"/>
    <w:rsid w:val="008A71C8"/>
    <w:rsid w:val="008A76FE"/>
    <w:rsid w:val="008A785D"/>
    <w:rsid w:val="008A7C9D"/>
    <w:rsid w:val="008A7E49"/>
    <w:rsid w:val="008B00C3"/>
    <w:rsid w:val="008B0696"/>
    <w:rsid w:val="008B0970"/>
    <w:rsid w:val="008B0C8B"/>
    <w:rsid w:val="008B146A"/>
    <w:rsid w:val="008B17A9"/>
    <w:rsid w:val="008B18EF"/>
    <w:rsid w:val="008B1BA5"/>
    <w:rsid w:val="008B1DFC"/>
    <w:rsid w:val="008B225D"/>
    <w:rsid w:val="008B250F"/>
    <w:rsid w:val="008B299C"/>
    <w:rsid w:val="008B2CE4"/>
    <w:rsid w:val="008B2E90"/>
    <w:rsid w:val="008B2F15"/>
    <w:rsid w:val="008B3FE4"/>
    <w:rsid w:val="008B497C"/>
    <w:rsid w:val="008B5593"/>
    <w:rsid w:val="008B55AA"/>
    <w:rsid w:val="008B5F7D"/>
    <w:rsid w:val="008B6002"/>
    <w:rsid w:val="008B6324"/>
    <w:rsid w:val="008B6723"/>
    <w:rsid w:val="008B6E16"/>
    <w:rsid w:val="008B6EE2"/>
    <w:rsid w:val="008B71C7"/>
    <w:rsid w:val="008B76A0"/>
    <w:rsid w:val="008B78AB"/>
    <w:rsid w:val="008C1201"/>
    <w:rsid w:val="008C12D4"/>
    <w:rsid w:val="008C164E"/>
    <w:rsid w:val="008C174A"/>
    <w:rsid w:val="008C184E"/>
    <w:rsid w:val="008C241E"/>
    <w:rsid w:val="008C27B8"/>
    <w:rsid w:val="008C2E96"/>
    <w:rsid w:val="008C3775"/>
    <w:rsid w:val="008C3CD3"/>
    <w:rsid w:val="008C3FE5"/>
    <w:rsid w:val="008C4089"/>
    <w:rsid w:val="008C4425"/>
    <w:rsid w:val="008C55A1"/>
    <w:rsid w:val="008C55D3"/>
    <w:rsid w:val="008C56CF"/>
    <w:rsid w:val="008C5B0F"/>
    <w:rsid w:val="008C5E7E"/>
    <w:rsid w:val="008C60B4"/>
    <w:rsid w:val="008C64AB"/>
    <w:rsid w:val="008C785B"/>
    <w:rsid w:val="008C7BFB"/>
    <w:rsid w:val="008C7C34"/>
    <w:rsid w:val="008D00D1"/>
    <w:rsid w:val="008D01CD"/>
    <w:rsid w:val="008D06F0"/>
    <w:rsid w:val="008D0E19"/>
    <w:rsid w:val="008D0E49"/>
    <w:rsid w:val="008D1342"/>
    <w:rsid w:val="008D148B"/>
    <w:rsid w:val="008D149F"/>
    <w:rsid w:val="008D1B1E"/>
    <w:rsid w:val="008D1C29"/>
    <w:rsid w:val="008D1DC8"/>
    <w:rsid w:val="008D1E9E"/>
    <w:rsid w:val="008D2B15"/>
    <w:rsid w:val="008D2CBC"/>
    <w:rsid w:val="008D36F6"/>
    <w:rsid w:val="008D3C5F"/>
    <w:rsid w:val="008D4035"/>
    <w:rsid w:val="008D479F"/>
    <w:rsid w:val="008D4965"/>
    <w:rsid w:val="008D4CA0"/>
    <w:rsid w:val="008D5343"/>
    <w:rsid w:val="008D53B3"/>
    <w:rsid w:val="008D5CD5"/>
    <w:rsid w:val="008D60D7"/>
    <w:rsid w:val="008D617A"/>
    <w:rsid w:val="008D6B01"/>
    <w:rsid w:val="008D6C3B"/>
    <w:rsid w:val="008D7321"/>
    <w:rsid w:val="008D78BF"/>
    <w:rsid w:val="008D79BE"/>
    <w:rsid w:val="008D7CD8"/>
    <w:rsid w:val="008D7F0B"/>
    <w:rsid w:val="008D7F21"/>
    <w:rsid w:val="008D7F53"/>
    <w:rsid w:val="008E0171"/>
    <w:rsid w:val="008E0742"/>
    <w:rsid w:val="008E07FD"/>
    <w:rsid w:val="008E0C9C"/>
    <w:rsid w:val="008E0D46"/>
    <w:rsid w:val="008E0D9D"/>
    <w:rsid w:val="008E0F45"/>
    <w:rsid w:val="008E1566"/>
    <w:rsid w:val="008E16A8"/>
    <w:rsid w:val="008E1926"/>
    <w:rsid w:val="008E1B43"/>
    <w:rsid w:val="008E1BEF"/>
    <w:rsid w:val="008E1E5D"/>
    <w:rsid w:val="008E210B"/>
    <w:rsid w:val="008E2255"/>
    <w:rsid w:val="008E2289"/>
    <w:rsid w:val="008E2838"/>
    <w:rsid w:val="008E2D27"/>
    <w:rsid w:val="008E34D3"/>
    <w:rsid w:val="008E361D"/>
    <w:rsid w:val="008E363E"/>
    <w:rsid w:val="008E3879"/>
    <w:rsid w:val="008E3AA1"/>
    <w:rsid w:val="008E3F45"/>
    <w:rsid w:val="008E415B"/>
    <w:rsid w:val="008E452F"/>
    <w:rsid w:val="008E50CB"/>
    <w:rsid w:val="008E5144"/>
    <w:rsid w:val="008E5373"/>
    <w:rsid w:val="008E548F"/>
    <w:rsid w:val="008E5576"/>
    <w:rsid w:val="008E5C64"/>
    <w:rsid w:val="008E6BBE"/>
    <w:rsid w:val="008E6CD6"/>
    <w:rsid w:val="008E6D62"/>
    <w:rsid w:val="008E6F7B"/>
    <w:rsid w:val="008E7360"/>
    <w:rsid w:val="008F0181"/>
    <w:rsid w:val="008F03FC"/>
    <w:rsid w:val="008F04B1"/>
    <w:rsid w:val="008F073D"/>
    <w:rsid w:val="008F07C1"/>
    <w:rsid w:val="008F0AF9"/>
    <w:rsid w:val="008F0CFA"/>
    <w:rsid w:val="008F10DA"/>
    <w:rsid w:val="008F11F6"/>
    <w:rsid w:val="008F1603"/>
    <w:rsid w:val="008F19AC"/>
    <w:rsid w:val="008F1C9A"/>
    <w:rsid w:val="008F1E01"/>
    <w:rsid w:val="008F2105"/>
    <w:rsid w:val="008F2773"/>
    <w:rsid w:val="008F289C"/>
    <w:rsid w:val="008F2F35"/>
    <w:rsid w:val="008F3453"/>
    <w:rsid w:val="008F3D23"/>
    <w:rsid w:val="008F3DF8"/>
    <w:rsid w:val="008F43D2"/>
    <w:rsid w:val="008F4479"/>
    <w:rsid w:val="008F455C"/>
    <w:rsid w:val="008F4AE1"/>
    <w:rsid w:val="008F50B7"/>
    <w:rsid w:val="008F57E5"/>
    <w:rsid w:val="008F5C0F"/>
    <w:rsid w:val="008F5CF7"/>
    <w:rsid w:val="008F6632"/>
    <w:rsid w:val="008F669B"/>
    <w:rsid w:val="008F669D"/>
    <w:rsid w:val="008F6754"/>
    <w:rsid w:val="008F6A7B"/>
    <w:rsid w:val="008F6B4F"/>
    <w:rsid w:val="008F6C5E"/>
    <w:rsid w:val="008F6D66"/>
    <w:rsid w:val="008F6DC3"/>
    <w:rsid w:val="008F6DE1"/>
    <w:rsid w:val="008F6F40"/>
    <w:rsid w:val="008F771A"/>
    <w:rsid w:val="008F7793"/>
    <w:rsid w:val="008F7A8F"/>
    <w:rsid w:val="008F7F2A"/>
    <w:rsid w:val="00900438"/>
    <w:rsid w:val="009005C5"/>
    <w:rsid w:val="00901007"/>
    <w:rsid w:val="009010D8"/>
    <w:rsid w:val="00901269"/>
    <w:rsid w:val="0090146F"/>
    <w:rsid w:val="009014CE"/>
    <w:rsid w:val="0090209D"/>
    <w:rsid w:val="009023CF"/>
    <w:rsid w:val="00902905"/>
    <w:rsid w:val="00902CB3"/>
    <w:rsid w:val="00902F9C"/>
    <w:rsid w:val="00903307"/>
    <w:rsid w:val="009033B3"/>
    <w:rsid w:val="009037B9"/>
    <w:rsid w:val="0090388A"/>
    <w:rsid w:val="009041AA"/>
    <w:rsid w:val="00904AFC"/>
    <w:rsid w:val="00904FEC"/>
    <w:rsid w:val="00905AE1"/>
    <w:rsid w:val="00906097"/>
    <w:rsid w:val="0090617F"/>
    <w:rsid w:val="009063A2"/>
    <w:rsid w:val="009066DC"/>
    <w:rsid w:val="00906ACB"/>
    <w:rsid w:val="009072C7"/>
    <w:rsid w:val="009075F9"/>
    <w:rsid w:val="00907927"/>
    <w:rsid w:val="00907B6C"/>
    <w:rsid w:val="00907EA3"/>
    <w:rsid w:val="009105A1"/>
    <w:rsid w:val="00910870"/>
    <w:rsid w:val="00910BB2"/>
    <w:rsid w:val="00910C7A"/>
    <w:rsid w:val="00910E53"/>
    <w:rsid w:val="00911262"/>
    <w:rsid w:val="009115A8"/>
    <w:rsid w:val="00911758"/>
    <w:rsid w:val="00911A9E"/>
    <w:rsid w:val="00911B66"/>
    <w:rsid w:val="009121BB"/>
    <w:rsid w:val="00912A7D"/>
    <w:rsid w:val="00912A91"/>
    <w:rsid w:val="00912C8D"/>
    <w:rsid w:val="009130C9"/>
    <w:rsid w:val="009132A7"/>
    <w:rsid w:val="009134C2"/>
    <w:rsid w:val="009134F7"/>
    <w:rsid w:val="0091355E"/>
    <w:rsid w:val="009135BC"/>
    <w:rsid w:val="0091389D"/>
    <w:rsid w:val="0091395A"/>
    <w:rsid w:val="00913979"/>
    <w:rsid w:val="00913FB9"/>
    <w:rsid w:val="00914423"/>
    <w:rsid w:val="00914872"/>
    <w:rsid w:val="009148AC"/>
    <w:rsid w:val="00914CFA"/>
    <w:rsid w:val="009152A8"/>
    <w:rsid w:val="009157AE"/>
    <w:rsid w:val="00915A3F"/>
    <w:rsid w:val="009160B1"/>
    <w:rsid w:val="009160C9"/>
    <w:rsid w:val="009165E9"/>
    <w:rsid w:val="009165EF"/>
    <w:rsid w:val="00916718"/>
    <w:rsid w:val="00916836"/>
    <w:rsid w:val="00916929"/>
    <w:rsid w:val="00916AE5"/>
    <w:rsid w:val="00916F5E"/>
    <w:rsid w:val="00917178"/>
    <w:rsid w:val="009171BC"/>
    <w:rsid w:val="00917406"/>
    <w:rsid w:val="00917904"/>
    <w:rsid w:val="00920849"/>
    <w:rsid w:val="00920F0D"/>
    <w:rsid w:val="0092103D"/>
    <w:rsid w:val="0092143A"/>
    <w:rsid w:val="0092144E"/>
    <w:rsid w:val="009215DD"/>
    <w:rsid w:val="009217A0"/>
    <w:rsid w:val="00922102"/>
    <w:rsid w:val="00922177"/>
    <w:rsid w:val="00922E0F"/>
    <w:rsid w:val="00922F92"/>
    <w:rsid w:val="009231FF"/>
    <w:rsid w:val="009234A9"/>
    <w:rsid w:val="0092359D"/>
    <w:rsid w:val="009236C7"/>
    <w:rsid w:val="00923802"/>
    <w:rsid w:val="00923B05"/>
    <w:rsid w:val="00923FCF"/>
    <w:rsid w:val="009242CA"/>
    <w:rsid w:val="00924902"/>
    <w:rsid w:val="00924CC1"/>
    <w:rsid w:val="00925EDD"/>
    <w:rsid w:val="00925F7E"/>
    <w:rsid w:val="0092610F"/>
    <w:rsid w:val="0092626B"/>
    <w:rsid w:val="0092665D"/>
    <w:rsid w:val="0092672E"/>
    <w:rsid w:val="00926946"/>
    <w:rsid w:val="00926CA9"/>
    <w:rsid w:val="00927FD8"/>
    <w:rsid w:val="00930A39"/>
    <w:rsid w:val="00930BF9"/>
    <w:rsid w:val="00930DC3"/>
    <w:rsid w:val="0093102B"/>
    <w:rsid w:val="00931119"/>
    <w:rsid w:val="00931417"/>
    <w:rsid w:val="0093176B"/>
    <w:rsid w:val="00931845"/>
    <w:rsid w:val="00931AE9"/>
    <w:rsid w:val="00931B71"/>
    <w:rsid w:val="00931D5B"/>
    <w:rsid w:val="0093204A"/>
    <w:rsid w:val="009322C3"/>
    <w:rsid w:val="00932659"/>
    <w:rsid w:val="00932810"/>
    <w:rsid w:val="00932B70"/>
    <w:rsid w:val="009330CB"/>
    <w:rsid w:val="00933294"/>
    <w:rsid w:val="009337AA"/>
    <w:rsid w:val="009339B2"/>
    <w:rsid w:val="00933E5E"/>
    <w:rsid w:val="009346F0"/>
    <w:rsid w:val="00934B5F"/>
    <w:rsid w:val="009351D6"/>
    <w:rsid w:val="00935528"/>
    <w:rsid w:val="00935866"/>
    <w:rsid w:val="009358B5"/>
    <w:rsid w:val="009359F5"/>
    <w:rsid w:val="00935E98"/>
    <w:rsid w:val="009362A0"/>
    <w:rsid w:val="0093678E"/>
    <w:rsid w:val="00936AD5"/>
    <w:rsid w:val="00936FC8"/>
    <w:rsid w:val="00937400"/>
    <w:rsid w:val="00937565"/>
    <w:rsid w:val="00937641"/>
    <w:rsid w:val="00940020"/>
    <w:rsid w:val="00940275"/>
    <w:rsid w:val="00940799"/>
    <w:rsid w:val="0094097A"/>
    <w:rsid w:val="00940EF8"/>
    <w:rsid w:val="0094147A"/>
    <w:rsid w:val="009418BD"/>
    <w:rsid w:val="009418C8"/>
    <w:rsid w:val="00941925"/>
    <w:rsid w:val="00941D60"/>
    <w:rsid w:val="009428C5"/>
    <w:rsid w:val="00942CF2"/>
    <w:rsid w:val="00943160"/>
    <w:rsid w:val="009432FB"/>
    <w:rsid w:val="009432FE"/>
    <w:rsid w:val="009434CE"/>
    <w:rsid w:val="009437B9"/>
    <w:rsid w:val="00943942"/>
    <w:rsid w:val="00943AD5"/>
    <w:rsid w:val="00943BFC"/>
    <w:rsid w:val="00943D40"/>
    <w:rsid w:val="00943DE3"/>
    <w:rsid w:val="009442DB"/>
    <w:rsid w:val="0094458F"/>
    <w:rsid w:val="009446A2"/>
    <w:rsid w:val="00944C2C"/>
    <w:rsid w:val="009451BE"/>
    <w:rsid w:val="00945389"/>
    <w:rsid w:val="009459A2"/>
    <w:rsid w:val="00945B30"/>
    <w:rsid w:val="00945B93"/>
    <w:rsid w:val="00945C27"/>
    <w:rsid w:val="00945EFC"/>
    <w:rsid w:val="00946122"/>
    <w:rsid w:val="00946597"/>
    <w:rsid w:val="0094680A"/>
    <w:rsid w:val="00946942"/>
    <w:rsid w:val="00947416"/>
    <w:rsid w:val="00947542"/>
    <w:rsid w:val="00947582"/>
    <w:rsid w:val="0094759C"/>
    <w:rsid w:val="009479F5"/>
    <w:rsid w:val="00947C2A"/>
    <w:rsid w:val="00947F17"/>
    <w:rsid w:val="0095011D"/>
    <w:rsid w:val="0095023A"/>
    <w:rsid w:val="00950D16"/>
    <w:rsid w:val="00950FF2"/>
    <w:rsid w:val="00951535"/>
    <w:rsid w:val="00951B32"/>
    <w:rsid w:val="00951EB3"/>
    <w:rsid w:val="0095239B"/>
    <w:rsid w:val="0095315F"/>
    <w:rsid w:val="00953566"/>
    <w:rsid w:val="00953752"/>
    <w:rsid w:val="00953EC6"/>
    <w:rsid w:val="00953F4F"/>
    <w:rsid w:val="00954001"/>
    <w:rsid w:val="00954099"/>
    <w:rsid w:val="0095449D"/>
    <w:rsid w:val="0095459A"/>
    <w:rsid w:val="009546E0"/>
    <w:rsid w:val="00954BA2"/>
    <w:rsid w:val="00954C03"/>
    <w:rsid w:val="00954C2F"/>
    <w:rsid w:val="0095533A"/>
    <w:rsid w:val="009555CF"/>
    <w:rsid w:val="009557B6"/>
    <w:rsid w:val="00955876"/>
    <w:rsid w:val="00955A52"/>
    <w:rsid w:val="00955C0E"/>
    <w:rsid w:val="00956490"/>
    <w:rsid w:val="0095653A"/>
    <w:rsid w:val="00956737"/>
    <w:rsid w:val="009568D5"/>
    <w:rsid w:val="00957107"/>
    <w:rsid w:val="00957270"/>
    <w:rsid w:val="0095778F"/>
    <w:rsid w:val="00957D4A"/>
    <w:rsid w:val="00957D65"/>
    <w:rsid w:val="00957D80"/>
    <w:rsid w:val="00957E0C"/>
    <w:rsid w:val="00957EEA"/>
    <w:rsid w:val="00957FBB"/>
    <w:rsid w:val="00957FFB"/>
    <w:rsid w:val="0096002E"/>
    <w:rsid w:val="00960834"/>
    <w:rsid w:val="00960A09"/>
    <w:rsid w:val="00960A49"/>
    <w:rsid w:val="00960F74"/>
    <w:rsid w:val="0096162B"/>
    <w:rsid w:val="00961A12"/>
    <w:rsid w:val="00961F1F"/>
    <w:rsid w:val="009622E1"/>
    <w:rsid w:val="00962453"/>
    <w:rsid w:val="0096313F"/>
    <w:rsid w:val="009631F9"/>
    <w:rsid w:val="0096330F"/>
    <w:rsid w:val="009634FD"/>
    <w:rsid w:val="009637C8"/>
    <w:rsid w:val="009638B4"/>
    <w:rsid w:val="009639D2"/>
    <w:rsid w:val="009639DD"/>
    <w:rsid w:val="00963A20"/>
    <w:rsid w:val="00963B30"/>
    <w:rsid w:val="00963B8D"/>
    <w:rsid w:val="00963EA5"/>
    <w:rsid w:val="00963F95"/>
    <w:rsid w:val="00964222"/>
    <w:rsid w:val="00964346"/>
    <w:rsid w:val="009643F9"/>
    <w:rsid w:val="0096487B"/>
    <w:rsid w:val="00964B56"/>
    <w:rsid w:val="00964E6B"/>
    <w:rsid w:val="009652A0"/>
    <w:rsid w:val="009655E9"/>
    <w:rsid w:val="00965716"/>
    <w:rsid w:val="00965770"/>
    <w:rsid w:val="00965872"/>
    <w:rsid w:val="00965DE2"/>
    <w:rsid w:val="00966711"/>
    <w:rsid w:val="00966AB2"/>
    <w:rsid w:val="00966DAD"/>
    <w:rsid w:val="0096700C"/>
    <w:rsid w:val="009676BA"/>
    <w:rsid w:val="00967840"/>
    <w:rsid w:val="00967910"/>
    <w:rsid w:val="00967BE5"/>
    <w:rsid w:val="0096A371"/>
    <w:rsid w:val="009700FD"/>
    <w:rsid w:val="00970683"/>
    <w:rsid w:val="00970867"/>
    <w:rsid w:val="00970D44"/>
    <w:rsid w:val="00970E4C"/>
    <w:rsid w:val="00970ED3"/>
    <w:rsid w:val="00971454"/>
    <w:rsid w:val="00971DA8"/>
    <w:rsid w:val="00971E80"/>
    <w:rsid w:val="00971EAD"/>
    <w:rsid w:val="00971F74"/>
    <w:rsid w:val="0097206F"/>
    <w:rsid w:val="00972849"/>
    <w:rsid w:val="00972896"/>
    <w:rsid w:val="009728B2"/>
    <w:rsid w:val="00972E9F"/>
    <w:rsid w:val="009737DD"/>
    <w:rsid w:val="0097385D"/>
    <w:rsid w:val="0097452C"/>
    <w:rsid w:val="00974835"/>
    <w:rsid w:val="00974AC8"/>
    <w:rsid w:val="00974CCA"/>
    <w:rsid w:val="00974E02"/>
    <w:rsid w:val="009750DC"/>
    <w:rsid w:val="009756D2"/>
    <w:rsid w:val="00975B02"/>
    <w:rsid w:val="00975FC0"/>
    <w:rsid w:val="009763C4"/>
    <w:rsid w:val="009766DC"/>
    <w:rsid w:val="009776C6"/>
    <w:rsid w:val="0097781C"/>
    <w:rsid w:val="0097792E"/>
    <w:rsid w:val="0097793F"/>
    <w:rsid w:val="009779B2"/>
    <w:rsid w:val="009806F0"/>
    <w:rsid w:val="00980B79"/>
    <w:rsid w:val="009817DA"/>
    <w:rsid w:val="00982001"/>
    <w:rsid w:val="009823A6"/>
    <w:rsid w:val="009825A3"/>
    <w:rsid w:val="00982CEF"/>
    <w:rsid w:val="00983364"/>
    <w:rsid w:val="009833F2"/>
    <w:rsid w:val="00983F8A"/>
    <w:rsid w:val="009840CF"/>
    <w:rsid w:val="00985108"/>
    <w:rsid w:val="009853F2"/>
    <w:rsid w:val="009855E3"/>
    <w:rsid w:val="009857BF"/>
    <w:rsid w:val="009861A5"/>
    <w:rsid w:val="009861AD"/>
    <w:rsid w:val="00986449"/>
    <w:rsid w:val="009867D8"/>
    <w:rsid w:val="0098694E"/>
    <w:rsid w:val="00987131"/>
    <w:rsid w:val="009872B0"/>
    <w:rsid w:val="00987CF2"/>
    <w:rsid w:val="0099019C"/>
    <w:rsid w:val="00990A07"/>
    <w:rsid w:val="00990A1E"/>
    <w:rsid w:val="00990C19"/>
    <w:rsid w:val="00990CCB"/>
    <w:rsid w:val="00991150"/>
    <w:rsid w:val="009916B9"/>
    <w:rsid w:val="00991998"/>
    <w:rsid w:val="00991C0C"/>
    <w:rsid w:val="00991E9B"/>
    <w:rsid w:val="00992103"/>
    <w:rsid w:val="009926C3"/>
    <w:rsid w:val="00992767"/>
    <w:rsid w:val="00992A3D"/>
    <w:rsid w:val="009931C2"/>
    <w:rsid w:val="009932B8"/>
    <w:rsid w:val="0099394D"/>
    <w:rsid w:val="00993950"/>
    <w:rsid w:val="00993ED0"/>
    <w:rsid w:val="00993F37"/>
    <w:rsid w:val="00993FB0"/>
    <w:rsid w:val="009942E6"/>
    <w:rsid w:val="00994384"/>
    <w:rsid w:val="00994611"/>
    <w:rsid w:val="00994960"/>
    <w:rsid w:val="00994D08"/>
    <w:rsid w:val="00994FF3"/>
    <w:rsid w:val="00995818"/>
    <w:rsid w:val="0099593B"/>
    <w:rsid w:val="00995C91"/>
    <w:rsid w:val="00995E65"/>
    <w:rsid w:val="00995E6D"/>
    <w:rsid w:val="0099607A"/>
    <w:rsid w:val="00996952"/>
    <w:rsid w:val="00996C92"/>
    <w:rsid w:val="00997C0B"/>
    <w:rsid w:val="009A01DA"/>
    <w:rsid w:val="009A02CE"/>
    <w:rsid w:val="009A09FD"/>
    <w:rsid w:val="009A0C38"/>
    <w:rsid w:val="009A0EBD"/>
    <w:rsid w:val="009A101A"/>
    <w:rsid w:val="009A16BC"/>
    <w:rsid w:val="009A185E"/>
    <w:rsid w:val="009A1C08"/>
    <w:rsid w:val="009A1CB5"/>
    <w:rsid w:val="009A1D2A"/>
    <w:rsid w:val="009A2644"/>
    <w:rsid w:val="009A26EE"/>
    <w:rsid w:val="009A29FB"/>
    <w:rsid w:val="009A2B38"/>
    <w:rsid w:val="009A33C1"/>
    <w:rsid w:val="009A39AE"/>
    <w:rsid w:val="009A44CF"/>
    <w:rsid w:val="009A495F"/>
    <w:rsid w:val="009A4BC7"/>
    <w:rsid w:val="009A5307"/>
    <w:rsid w:val="009A5362"/>
    <w:rsid w:val="009A5747"/>
    <w:rsid w:val="009A5C26"/>
    <w:rsid w:val="009A5D2A"/>
    <w:rsid w:val="009A5DBC"/>
    <w:rsid w:val="009A6017"/>
    <w:rsid w:val="009A60CD"/>
    <w:rsid w:val="009A6135"/>
    <w:rsid w:val="009A62FA"/>
    <w:rsid w:val="009A641B"/>
    <w:rsid w:val="009A721D"/>
    <w:rsid w:val="009A726A"/>
    <w:rsid w:val="009B0546"/>
    <w:rsid w:val="009B0870"/>
    <w:rsid w:val="009B11E9"/>
    <w:rsid w:val="009B1948"/>
    <w:rsid w:val="009B1B73"/>
    <w:rsid w:val="009B1D91"/>
    <w:rsid w:val="009B1E75"/>
    <w:rsid w:val="009B23EA"/>
    <w:rsid w:val="009B23F7"/>
    <w:rsid w:val="009B2417"/>
    <w:rsid w:val="009B2525"/>
    <w:rsid w:val="009B28E3"/>
    <w:rsid w:val="009B2F79"/>
    <w:rsid w:val="009B302E"/>
    <w:rsid w:val="009B3B08"/>
    <w:rsid w:val="009B3D3A"/>
    <w:rsid w:val="009B43DC"/>
    <w:rsid w:val="009B4AC8"/>
    <w:rsid w:val="009B4B5C"/>
    <w:rsid w:val="009B4E56"/>
    <w:rsid w:val="009B4EDB"/>
    <w:rsid w:val="009B4F2B"/>
    <w:rsid w:val="009B54F3"/>
    <w:rsid w:val="009B5F01"/>
    <w:rsid w:val="009B6287"/>
    <w:rsid w:val="009B63E0"/>
    <w:rsid w:val="009B675F"/>
    <w:rsid w:val="009B67C1"/>
    <w:rsid w:val="009B7025"/>
    <w:rsid w:val="009B73BE"/>
    <w:rsid w:val="009B73DB"/>
    <w:rsid w:val="009B7C3E"/>
    <w:rsid w:val="009B7DC8"/>
    <w:rsid w:val="009C024E"/>
    <w:rsid w:val="009C03C0"/>
    <w:rsid w:val="009C062E"/>
    <w:rsid w:val="009C072A"/>
    <w:rsid w:val="009C08D6"/>
    <w:rsid w:val="009C138A"/>
    <w:rsid w:val="009C15D8"/>
    <w:rsid w:val="009C1E3A"/>
    <w:rsid w:val="009C2557"/>
    <w:rsid w:val="009C26D9"/>
    <w:rsid w:val="009C28B8"/>
    <w:rsid w:val="009C3417"/>
    <w:rsid w:val="009C3F64"/>
    <w:rsid w:val="009C408D"/>
    <w:rsid w:val="009C4228"/>
    <w:rsid w:val="009C511A"/>
    <w:rsid w:val="009C51A6"/>
    <w:rsid w:val="009C5467"/>
    <w:rsid w:val="009C5991"/>
    <w:rsid w:val="009C5A0F"/>
    <w:rsid w:val="009C635E"/>
    <w:rsid w:val="009C65FE"/>
    <w:rsid w:val="009C6D60"/>
    <w:rsid w:val="009C7095"/>
    <w:rsid w:val="009C73C8"/>
    <w:rsid w:val="009C7436"/>
    <w:rsid w:val="009C7533"/>
    <w:rsid w:val="009C7E98"/>
    <w:rsid w:val="009D00DF"/>
    <w:rsid w:val="009D0529"/>
    <w:rsid w:val="009D0799"/>
    <w:rsid w:val="009D07C0"/>
    <w:rsid w:val="009D1218"/>
    <w:rsid w:val="009D164E"/>
    <w:rsid w:val="009D191F"/>
    <w:rsid w:val="009D29C9"/>
    <w:rsid w:val="009D2B8A"/>
    <w:rsid w:val="009D327E"/>
    <w:rsid w:val="009D3445"/>
    <w:rsid w:val="009D37C9"/>
    <w:rsid w:val="009D3A6F"/>
    <w:rsid w:val="009D3C30"/>
    <w:rsid w:val="009D40FE"/>
    <w:rsid w:val="009D4138"/>
    <w:rsid w:val="009D46A7"/>
    <w:rsid w:val="009D4A0E"/>
    <w:rsid w:val="009D4F93"/>
    <w:rsid w:val="009D6470"/>
    <w:rsid w:val="009D6998"/>
    <w:rsid w:val="009D69B0"/>
    <w:rsid w:val="009D71F3"/>
    <w:rsid w:val="009D7266"/>
    <w:rsid w:val="009D7426"/>
    <w:rsid w:val="009D798B"/>
    <w:rsid w:val="009E0183"/>
    <w:rsid w:val="009E025D"/>
    <w:rsid w:val="009E0264"/>
    <w:rsid w:val="009E09E3"/>
    <w:rsid w:val="009E0B5C"/>
    <w:rsid w:val="009E1242"/>
    <w:rsid w:val="009E138A"/>
    <w:rsid w:val="009E145B"/>
    <w:rsid w:val="009E1667"/>
    <w:rsid w:val="009E1E98"/>
    <w:rsid w:val="009E27D7"/>
    <w:rsid w:val="009E3000"/>
    <w:rsid w:val="009E31EB"/>
    <w:rsid w:val="009E34EE"/>
    <w:rsid w:val="009E38FD"/>
    <w:rsid w:val="009E3BBC"/>
    <w:rsid w:val="009E3F98"/>
    <w:rsid w:val="009E440B"/>
    <w:rsid w:val="009E4F55"/>
    <w:rsid w:val="009E541A"/>
    <w:rsid w:val="009E545E"/>
    <w:rsid w:val="009E55EE"/>
    <w:rsid w:val="009E5748"/>
    <w:rsid w:val="009E62FC"/>
    <w:rsid w:val="009E65C2"/>
    <w:rsid w:val="009E6987"/>
    <w:rsid w:val="009E6AED"/>
    <w:rsid w:val="009E6E1B"/>
    <w:rsid w:val="009E716B"/>
    <w:rsid w:val="009E73EA"/>
    <w:rsid w:val="009E7550"/>
    <w:rsid w:val="009E75A4"/>
    <w:rsid w:val="009E7D2F"/>
    <w:rsid w:val="009F00D9"/>
    <w:rsid w:val="009F0573"/>
    <w:rsid w:val="009F0994"/>
    <w:rsid w:val="009F13EB"/>
    <w:rsid w:val="009F17BC"/>
    <w:rsid w:val="009F196E"/>
    <w:rsid w:val="009F1B00"/>
    <w:rsid w:val="009F1DC7"/>
    <w:rsid w:val="009F1F7B"/>
    <w:rsid w:val="009F217A"/>
    <w:rsid w:val="009F2993"/>
    <w:rsid w:val="009F29FF"/>
    <w:rsid w:val="009F34F1"/>
    <w:rsid w:val="009F3A47"/>
    <w:rsid w:val="009F3B3A"/>
    <w:rsid w:val="009F3EC5"/>
    <w:rsid w:val="009F4C96"/>
    <w:rsid w:val="009F539F"/>
    <w:rsid w:val="009F5A33"/>
    <w:rsid w:val="009F6135"/>
    <w:rsid w:val="009F621E"/>
    <w:rsid w:val="009F6396"/>
    <w:rsid w:val="009F647A"/>
    <w:rsid w:val="009F679E"/>
    <w:rsid w:val="009F7821"/>
    <w:rsid w:val="009F7873"/>
    <w:rsid w:val="00A005A1"/>
    <w:rsid w:val="00A00BBF"/>
    <w:rsid w:val="00A00D60"/>
    <w:rsid w:val="00A01304"/>
    <w:rsid w:val="00A0175B"/>
    <w:rsid w:val="00A019B7"/>
    <w:rsid w:val="00A01E59"/>
    <w:rsid w:val="00A0224B"/>
    <w:rsid w:val="00A024D8"/>
    <w:rsid w:val="00A02738"/>
    <w:rsid w:val="00A0284A"/>
    <w:rsid w:val="00A02C84"/>
    <w:rsid w:val="00A02DAB"/>
    <w:rsid w:val="00A0325C"/>
    <w:rsid w:val="00A038CC"/>
    <w:rsid w:val="00A03B67"/>
    <w:rsid w:val="00A03BEB"/>
    <w:rsid w:val="00A04018"/>
    <w:rsid w:val="00A041D9"/>
    <w:rsid w:val="00A0515B"/>
    <w:rsid w:val="00A0587A"/>
    <w:rsid w:val="00A05AA6"/>
    <w:rsid w:val="00A05F59"/>
    <w:rsid w:val="00A061E3"/>
    <w:rsid w:val="00A071E6"/>
    <w:rsid w:val="00A07C18"/>
    <w:rsid w:val="00A07D38"/>
    <w:rsid w:val="00A1004F"/>
    <w:rsid w:val="00A1011F"/>
    <w:rsid w:val="00A10298"/>
    <w:rsid w:val="00A10751"/>
    <w:rsid w:val="00A1088B"/>
    <w:rsid w:val="00A108CD"/>
    <w:rsid w:val="00A10FFE"/>
    <w:rsid w:val="00A1138F"/>
    <w:rsid w:val="00A11506"/>
    <w:rsid w:val="00A11582"/>
    <w:rsid w:val="00A11683"/>
    <w:rsid w:val="00A11BCD"/>
    <w:rsid w:val="00A11F28"/>
    <w:rsid w:val="00A121F3"/>
    <w:rsid w:val="00A123A2"/>
    <w:rsid w:val="00A1251F"/>
    <w:rsid w:val="00A1265B"/>
    <w:rsid w:val="00A12794"/>
    <w:rsid w:val="00A12837"/>
    <w:rsid w:val="00A12AA9"/>
    <w:rsid w:val="00A13A2C"/>
    <w:rsid w:val="00A14028"/>
    <w:rsid w:val="00A141F1"/>
    <w:rsid w:val="00A14207"/>
    <w:rsid w:val="00A143A0"/>
    <w:rsid w:val="00A1461D"/>
    <w:rsid w:val="00A15488"/>
    <w:rsid w:val="00A15619"/>
    <w:rsid w:val="00A15695"/>
    <w:rsid w:val="00A15E75"/>
    <w:rsid w:val="00A16270"/>
    <w:rsid w:val="00A168D9"/>
    <w:rsid w:val="00A16FA6"/>
    <w:rsid w:val="00A17577"/>
    <w:rsid w:val="00A17592"/>
    <w:rsid w:val="00A17621"/>
    <w:rsid w:val="00A17825"/>
    <w:rsid w:val="00A17B5F"/>
    <w:rsid w:val="00A17BA4"/>
    <w:rsid w:val="00A17F0E"/>
    <w:rsid w:val="00A207B4"/>
    <w:rsid w:val="00A20806"/>
    <w:rsid w:val="00A21019"/>
    <w:rsid w:val="00A211B9"/>
    <w:rsid w:val="00A212CD"/>
    <w:rsid w:val="00A21476"/>
    <w:rsid w:val="00A21673"/>
    <w:rsid w:val="00A218B7"/>
    <w:rsid w:val="00A218F7"/>
    <w:rsid w:val="00A21F22"/>
    <w:rsid w:val="00A2215F"/>
    <w:rsid w:val="00A23189"/>
    <w:rsid w:val="00A233A3"/>
    <w:rsid w:val="00A233BA"/>
    <w:rsid w:val="00A238F8"/>
    <w:rsid w:val="00A23AF4"/>
    <w:rsid w:val="00A252D4"/>
    <w:rsid w:val="00A254A6"/>
    <w:rsid w:val="00A25971"/>
    <w:rsid w:val="00A25C76"/>
    <w:rsid w:val="00A262C9"/>
    <w:rsid w:val="00A26429"/>
    <w:rsid w:val="00A26576"/>
    <w:rsid w:val="00A266F0"/>
    <w:rsid w:val="00A26814"/>
    <w:rsid w:val="00A26C96"/>
    <w:rsid w:val="00A26F92"/>
    <w:rsid w:val="00A272A1"/>
    <w:rsid w:val="00A27A0F"/>
    <w:rsid w:val="00A27EF2"/>
    <w:rsid w:val="00A3000C"/>
    <w:rsid w:val="00A301A5"/>
    <w:rsid w:val="00A30375"/>
    <w:rsid w:val="00A31166"/>
    <w:rsid w:val="00A31D19"/>
    <w:rsid w:val="00A32559"/>
    <w:rsid w:val="00A325EA"/>
    <w:rsid w:val="00A32FEA"/>
    <w:rsid w:val="00A33B2F"/>
    <w:rsid w:val="00A34026"/>
    <w:rsid w:val="00A3433A"/>
    <w:rsid w:val="00A345E7"/>
    <w:rsid w:val="00A34832"/>
    <w:rsid w:val="00A34895"/>
    <w:rsid w:val="00A34931"/>
    <w:rsid w:val="00A3503F"/>
    <w:rsid w:val="00A353E7"/>
    <w:rsid w:val="00A3556B"/>
    <w:rsid w:val="00A358B6"/>
    <w:rsid w:val="00A35B53"/>
    <w:rsid w:val="00A35D0C"/>
    <w:rsid w:val="00A3624C"/>
    <w:rsid w:val="00A3630F"/>
    <w:rsid w:val="00A36424"/>
    <w:rsid w:val="00A36461"/>
    <w:rsid w:val="00A3677B"/>
    <w:rsid w:val="00A36BFD"/>
    <w:rsid w:val="00A37195"/>
    <w:rsid w:val="00A3749F"/>
    <w:rsid w:val="00A37C16"/>
    <w:rsid w:val="00A407F2"/>
    <w:rsid w:val="00A409FC"/>
    <w:rsid w:val="00A41188"/>
    <w:rsid w:val="00A41439"/>
    <w:rsid w:val="00A418FE"/>
    <w:rsid w:val="00A41E70"/>
    <w:rsid w:val="00A42308"/>
    <w:rsid w:val="00A4242D"/>
    <w:rsid w:val="00A42553"/>
    <w:rsid w:val="00A42A6E"/>
    <w:rsid w:val="00A42C8A"/>
    <w:rsid w:val="00A431DA"/>
    <w:rsid w:val="00A43359"/>
    <w:rsid w:val="00A435FC"/>
    <w:rsid w:val="00A43BA8"/>
    <w:rsid w:val="00A43DB1"/>
    <w:rsid w:val="00A43E1F"/>
    <w:rsid w:val="00A44084"/>
    <w:rsid w:val="00A441BA"/>
    <w:rsid w:val="00A44252"/>
    <w:rsid w:val="00A443FD"/>
    <w:rsid w:val="00A44596"/>
    <w:rsid w:val="00A44662"/>
    <w:rsid w:val="00A448F0"/>
    <w:rsid w:val="00A4497C"/>
    <w:rsid w:val="00A4514E"/>
    <w:rsid w:val="00A451C5"/>
    <w:rsid w:val="00A45970"/>
    <w:rsid w:val="00A45D7A"/>
    <w:rsid w:val="00A45FA1"/>
    <w:rsid w:val="00A4607F"/>
    <w:rsid w:val="00A466FB"/>
    <w:rsid w:val="00A46BEE"/>
    <w:rsid w:val="00A46F51"/>
    <w:rsid w:val="00A472DC"/>
    <w:rsid w:val="00A4757D"/>
    <w:rsid w:val="00A476AE"/>
    <w:rsid w:val="00A479E7"/>
    <w:rsid w:val="00A50346"/>
    <w:rsid w:val="00A506BC"/>
    <w:rsid w:val="00A5071D"/>
    <w:rsid w:val="00A50EF1"/>
    <w:rsid w:val="00A51751"/>
    <w:rsid w:val="00A51C39"/>
    <w:rsid w:val="00A52058"/>
    <w:rsid w:val="00A521AA"/>
    <w:rsid w:val="00A5224B"/>
    <w:rsid w:val="00A528BA"/>
    <w:rsid w:val="00A52A56"/>
    <w:rsid w:val="00A52B99"/>
    <w:rsid w:val="00A52CDD"/>
    <w:rsid w:val="00A52F66"/>
    <w:rsid w:val="00A534E8"/>
    <w:rsid w:val="00A535A8"/>
    <w:rsid w:val="00A536E1"/>
    <w:rsid w:val="00A54557"/>
    <w:rsid w:val="00A54756"/>
    <w:rsid w:val="00A54B35"/>
    <w:rsid w:val="00A54EB2"/>
    <w:rsid w:val="00A5530E"/>
    <w:rsid w:val="00A55A5F"/>
    <w:rsid w:val="00A56420"/>
    <w:rsid w:val="00A5681C"/>
    <w:rsid w:val="00A56CC5"/>
    <w:rsid w:val="00A5734B"/>
    <w:rsid w:val="00A575E3"/>
    <w:rsid w:val="00A57A93"/>
    <w:rsid w:val="00A57AE6"/>
    <w:rsid w:val="00A57CF2"/>
    <w:rsid w:val="00A60445"/>
    <w:rsid w:val="00A6055F"/>
    <w:rsid w:val="00A6069E"/>
    <w:rsid w:val="00A6076D"/>
    <w:rsid w:val="00A60821"/>
    <w:rsid w:val="00A60846"/>
    <w:rsid w:val="00A60DD6"/>
    <w:rsid w:val="00A615D3"/>
    <w:rsid w:val="00A6211C"/>
    <w:rsid w:val="00A6299A"/>
    <w:rsid w:val="00A629EE"/>
    <w:rsid w:val="00A62A19"/>
    <w:rsid w:val="00A63D15"/>
    <w:rsid w:val="00A6460A"/>
    <w:rsid w:val="00A64630"/>
    <w:rsid w:val="00A64A24"/>
    <w:rsid w:val="00A65182"/>
    <w:rsid w:val="00A652F1"/>
    <w:rsid w:val="00A65338"/>
    <w:rsid w:val="00A65362"/>
    <w:rsid w:val="00A6538A"/>
    <w:rsid w:val="00A6581F"/>
    <w:rsid w:val="00A65A45"/>
    <w:rsid w:val="00A65AA6"/>
    <w:rsid w:val="00A65B29"/>
    <w:rsid w:val="00A65E9D"/>
    <w:rsid w:val="00A66504"/>
    <w:rsid w:val="00A668B5"/>
    <w:rsid w:val="00A66F29"/>
    <w:rsid w:val="00A66F90"/>
    <w:rsid w:val="00A670FB"/>
    <w:rsid w:val="00A6759E"/>
    <w:rsid w:val="00A70603"/>
    <w:rsid w:val="00A707F9"/>
    <w:rsid w:val="00A70995"/>
    <w:rsid w:val="00A71065"/>
    <w:rsid w:val="00A72180"/>
    <w:rsid w:val="00A721A7"/>
    <w:rsid w:val="00A73136"/>
    <w:rsid w:val="00A73958"/>
    <w:rsid w:val="00A73F47"/>
    <w:rsid w:val="00A73F72"/>
    <w:rsid w:val="00A7478D"/>
    <w:rsid w:val="00A7510C"/>
    <w:rsid w:val="00A751ED"/>
    <w:rsid w:val="00A75762"/>
    <w:rsid w:val="00A75865"/>
    <w:rsid w:val="00A75B11"/>
    <w:rsid w:val="00A762F0"/>
    <w:rsid w:val="00A76385"/>
    <w:rsid w:val="00A764A3"/>
    <w:rsid w:val="00A768B4"/>
    <w:rsid w:val="00A77580"/>
    <w:rsid w:val="00A77587"/>
    <w:rsid w:val="00A7791B"/>
    <w:rsid w:val="00A77A8C"/>
    <w:rsid w:val="00A8002D"/>
    <w:rsid w:val="00A8058B"/>
    <w:rsid w:val="00A8058E"/>
    <w:rsid w:val="00A807B7"/>
    <w:rsid w:val="00A80C5C"/>
    <w:rsid w:val="00A80D98"/>
    <w:rsid w:val="00A818AA"/>
    <w:rsid w:val="00A8196B"/>
    <w:rsid w:val="00A821FB"/>
    <w:rsid w:val="00A824C0"/>
    <w:rsid w:val="00A82537"/>
    <w:rsid w:val="00A82591"/>
    <w:rsid w:val="00A825D5"/>
    <w:rsid w:val="00A82822"/>
    <w:rsid w:val="00A834D8"/>
    <w:rsid w:val="00A839ED"/>
    <w:rsid w:val="00A83E88"/>
    <w:rsid w:val="00A84727"/>
    <w:rsid w:val="00A84B6A"/>
    <w:rsid w:val="00A84CC7"/>
    <w:rsid w:val="00A84F1C"/>
    <w:rsid w:val="00A8502C"/>
    <w:rsid w:val="00A852CD"/>
    <w:rsid w:val="00A856C7"/>
    <w:rsid w:val="00A85C0B"/>
    <w:rsid w:val="00A86269"/>
    <w:rsid w:val="00A86513"/>
    <w:rsid w:val="00A866D6"/>
    <w:rsid w:val="00A8677D"/>
    <w:rsid w:val="00A867EC"/>
    <w:rsid w:val="00A86BAF"/>
    <w:rsid w:val="00A86CB1"/>
    <w:rsid w:val="00A8702B"/>
    <w:rsid w:val="00A87B11"/>
    <w:rsid w:val="00A87EAD"/>
    <w:rsid w:val="00A87EC2"/>
    <w:rsid w:val="00A9010C"/>
    <w:rsid w:val="00A903B7"/>
    <w:rsid w:val="00A903FB"/>
    <w:rsid w:val="00A90510"/>
    <w:rsid w:val="00A9075C"/>
    <w:rsid w:val="00A90E31"/>
    <w:rsid w:val="00A90E91"/>
    <w:rsid w:val="00A916F8"/>
    <w:rsid w:val="00A91AD0"/>
    <w:rsid w:val="00A920E3"/>
    <w:rsid w:val="00A92150"/>
    <w:rsid w:val="00A92157"/>
    <w:rsid w:val="00A92523"/>
    <w:rsid w:val="00A92CE7"/>
    <w:rsid w:val="00A92DD6"/>
    <w:rsid w:val="00A93209"/>
    <w:rsid w:val="00A9327C"/>
    <w:rsid w:val="00A93736"/>
    <w:rsid w:val="00A9399B"/>
    <w:rsid w:val="00A939C8"/>
    <w:rsid w:val="00A93DF6"/>
    <w:rsid w:val="00A948C6"/>
    <w:rsid w:val="00A94B7B"/>
    <w:rsid w:val="00A94D03"/>
    <w:rsid w:val="00A94D33"/>
    <w:rsid w:val="00A94D4C"/>
    <w:rsid w:val="00A95562"/>
    <w:rsid w:val="00A95940"/>
    <w:rsid w:val="00A95BAB"/>
    <w:rsid w:val="00A95E30"/>
    <w:rsid w:val="00A96177"/>
    <w:rsid w:val="00A9649B"/>
    <w:rsid w:val="00A964F5"/>
    <w:rsid w:val="00A968EB"/>
    <w:rsid w:val="00A96B9B"/>
    <w:rsid w:val="00A97FB2"/>
    <w:rsid w:val="00AA032A"/>
    <w:rsid w:val="00AA0CA0"/>
    <w:rsid w:val="00AA0DDD"/>
    <w:rsid w:val="00AA0E9F"/>
    <w:rsid w:val="00AA1AA3"/>
    <w:rsid w:val="00AA1D3F"/>
    <w:rsid w:val="00AA277D"/>
    <w:rsid w:val="00AA3236"/>
    <w:rsid w:val="00AA329A"/>
    <w:rsid w:val="00AA342A"/>
    <w:rsid w:val="00AA3ABD"/>
    <w:rsid w:val="00AA3B09"/>
    <w:rsid w:val="00AA3C01"/>
    <w:rsid w:val="00AA3F59"/>
    <w:rsid w:val="00AA4982"/>
    <w:rsid w:val="00AA5137"/>
    <w:rsid w:val="00AA529E"/>
    <w:rsid w:val="00AA565B"/>
    <w:rsid w:val="00AA5ACE"/>
    <w:rsid w:val="00AA5C7F"/>
    <w:rsid w:val="00AA602C"/>
    <w:rsid w:val="00AA61A6"/>
    <w:rsid w:val="00AA61BA"/>
    <w:rsid w:val="00AA61F6"/>
    <w:rsid w:val="00AA652E"/>
    <w:rsid w:val="00AA6B8A"/>
    <w:rsid w:val="00AA6C45"/>
    <w:rsid w:val="00AA6E9E"/>
    <w:rsid w:val="00AA75A2"/>
    <w:rsid w:val="00AA77E7"/>
    <w:rsid w:val="00AA7F0F"/>
    <w:rsid w:val="00AA7FBC"/>
    <w:rsid w:val="00AB00B4"/>
    <w:rsid w:val="00AB0C58"/>
    <w:rsid w:val="00AB101F"/>
    <w:rsid w:val="00AB1890"/>
    <w:rsid w:val="00AB2019"/>
    <w:rsid w:val="00AB208D"/>
    <w:rsid w:val="00AB234D"/>
    <w:rsid w:val="00AB272D"/>
    <w:rsid w:val="00AB2CA5"/>
    <w:rsid w:val="00AB3901"/>
    <w:rsid w:val="00AB392D"/>
    <w:rsid w:val="00AB3991"/>
    <w:rsid w:val="00AB4036"/>
    <w:rsid w:val="00AB488D"/>
    <w:rsid w:val="00AB4BDF"/>
    <w:rsid w:val="00AB551F"/>
    <w:rsid w:val="00AB565D"/>
    <w:rsid w:val="00AB5B1A"/>
    <w:rsid w:val="00AB5E74"/>
    <w:rsid w:val="00AB5F07"/>
    <w:rsid w:val="00AB5F4C"/>
    <w:rsid w:val="00AB6515"/>
    <w:rsid w:val="00AB6E35"/>
    <w:rsid w:val="00AB72D3"/>
    <w:rsid w:val="00AB7B5B"/>
    <w:rsid w:val="00AB7E92"/>
    <w:rsid w:val="00AB7FF6"/>
    <w:rsid w:val="00AC0115"/>
    <w:rsid w:val="00AC0443"/>
    <w:rsid w:val="00AC08DA"/>
    <w:rsid w:val="00AC0D59"/>
    <w:rsid w:val="00AC1401"/>
    <w:rsid w:val="00AC1B15"/>
    <w:rsid w:val="00AC1BF3"/>
    <w:rsid w:val="00AC1DA3"/>
    <w:rsid w:val="00AC20FF"/>
    <w:rsid w:val="00AC22BD"/>
    <w:rsid w:val="00AC22C2"/>
    <w:rsid w:val="00AC230F"/>
    <w:rsid w:val="00AC270E"/>
    <w:rsid w:val="00AC27F1"/>
    <w:rsid w:val="00AC28B4"/>
    <w:rsid w:val="00AC2CA4"/>
    <w:rsid w:val="00AC30CB"/>
    <w:rsid w:val="00AC352B"/>
    <w:rsid w:val="00AC385B"/>
    <w:rsid w:val="00AC3BB3"/>
    <w:rsid w:val="00AC43D8"/>
    <w:rsid w:val="00AC4424"/>
    <w:rsid w:val="00AC44C4"/>
    <w:rsid w:val="00AC46E5"/>
    <w:rsid w:val="00AC470D"/>
    <w:rsid w:val="00AC4D73"/>
    <w:rsid w:val="00AC5EDA"/>
    <w:rsid w:val="00AC611A"/>
    <w:rsid w:val="00AC731A"/>
    <w:rsid w:val="00AD0A8D"/>
    <w:rsid w:val="00AD17FC"/>
    <w:rsid w:val="00AD1A3C"/>
    <w:rsid w:val="00AD1D16"/>
    <w:rsid w:val="00AD21B4"/>
    <w:rsid w:val="00AD22BC"/>
    <w:rsid w:val="00AD2834"/>
    <w:rsid w:val="00AD28F5"/>
    <w:rsid w:val="00AD29A9"/>
    <w:rsid w:val="00AD36CF"/>
    <w:rsid w:val="00AD453E"/>
    <w:rsid w:val="00AD455F"/>
    <w:rsid w:val="00AD456B"/>
    <w:rsid w:val="00AD4641"/>
    <w:rsid w:val="00AD4A41"/>
    <w:rsid w:val="00AD5820"/>
    <w:rsid w:val="00AD592F"/>
    <w:rsid w:val="00AD5BB3"/>
    <w:rsid w:val="00AD5D61"/>
    <w:rsid w:val="00AD623D"/>
    <w:rsid w:val="00AD632F"/>
    <w:rsid w:val="00AD65EF"/>
    <w:rsid w:val="00AD66FB"/>
    <w:rsid w:val="00AD6EE6"/>
    <w:rsid w:val="00AD713D"/>
    <w:rsid w:val="00AD71AB"/>
    <w:rsid w:val="00AD736D"/>
    <w:rsid w:val="00AD75A6"/>
    <w:rsid w:val="00AD788C"/>
    <w:rsid w:val="00AD78FF"/>
    <w:rsid w:val="00AD7C2B"/>
    <w:rsid w:val="00AD7CDE"/>
    <w:rsid w:val="00AE007B"/>
    <w:rsid w:val="00AE03DA"/>
    <w:rsid w:val="00AE0524"/>
    <w:rsid w:val="00AE099E"/>
    <w:rsid w:val="00AE0A13"/>
    <w:rsid w:val="00AE0B33"/>
    <w:rsid w:val="00AE10E0"/>
    <w:rsid w:val="00AE140D"/>
    <w:rsid w:val="00AE164F"/>
    <w:rsid w:val="00AE1A4E"/>
    <w:rsid w:val="00AE1DF6"/>
    <w:rsid w:val="00AE25BA"/>
    <w:rsid w:val="00AE25E5"/>
    <w:rsid w:val="00AE2D56"/>
    <w:rsid w:val="00AE2DF1"/>
    <w:rsid w:val="00AE31D5"/>
    <w:rsid w:val="00AE33F3"/>
    <w:rsid w:val="00AE3402"/>
    <w:rsid w:val="00AE3695"/>
    <w:rsid w:val="00AE378D"/>
    <w:rsid w:val="00AE3A57"/>
    <w:rsid w:val="00AE3C49"/>
    <w:rsid w:val="00AE3CF5"/>
    <w:rsid w:val="00AE45B9"/>
    <w:rsid w:val="00AE4E16"/>
    <w:rsid w:val="00AE528B"/>
    <w:rsid w:val="00AE52A3"/>
    <w:rsid w:val="00AE538B"/>
    <w:rsid w:val="00AE570A"/>
    <w:rsid w:val="00AE57B8"/>
    <w:rsid w:val="00AE6053"/>
    <w:rsid w:val="00AE61FF"/>
    <w:rsid w:val="00AE63B3"/>
    <w:rsid w:val="00AE6496"/>
    <w:rsid w:val="00AE70FC"/>
    <w:rsid w:val="00AE7168"/>
    <w:rsid w:val="00AE72F9"/>
    <w:rsid w:val="00AE7BB2"/>
    <w:rsid w:val="00AE7CE9"/>
    <w:rsid w:val="00AE7D50"/>
    <w:rsid w:val="00AF074C"/>
    <w:rsid w:val="00AF09BF"/>
    <w:rsid w:val="00AF0CB8"/>
    <w:rsid w:val="00AF0FAD"/>
    <w:rsid w:val="00AF1022"/>
    <w:rsid w:val="00AF11EE"/>
    <w:rsid w:val="00AF148D"/>
    <w:rsid w:val="00AF1C4F"/>
    <w:rsid w:val="00AF1E39"/>
    <w:rsid w:val="00AF1F78"/>
    <w:rsid w:val="00AF24E3"/>
    <w:rsid w:val="00AF29BD"/>
    <w:rsid w:val="00AF350A"/>
    <w:rsid w:val="00AF3CDC"/>
    <w:rsid w:val="00AF3D19"/>
    <w:rsid w:val="00AF3EBD"/>
    <w:rsid w:val="00AF40AF"/>
    <w:rsid w:val="00AF4D91"/>
    <w:rsid w:val="00AF527F"/>
    <w:rsid w:val="00AF589D"/>
    <w:rsid w:val="00AF595F"/>
    <w:rsid w:val="00AF6716"/>
    <w:rsid w:val="00AF6B62"/>
    <w:rsid w:val="00AF6C7E"/>
    <w:rsid w:val="00AF6D40"/>
    <w:rsid w:val="00AF7174"/>
    <w:rsid w:val="00AF71AA"/>
    <w:rsid w:val="00AF7479"/>
    <w:rsid w:val="00AF74BD"/>
    <w:rsid w:val="00AF769C"/>
    <w:rsid w:val="00AF775E"/>
    <w:rsid w:val="00AF77DD"/>
    <w:rsid w:val="00AF7C1F"/>
    <w:rsid w:val="00B004F3"/>
    <w:rsid w:val="00B018FA"/>
    <w:rsid w:val="00B019F3"/>
    <w:rsid w:val="00B0200F"/>
    <w:rsid w:val="00B02146"/>
    <w:rsid w:val="00B0256C"/>
    <w:rsid w:val="00B02987"/>
    <w:rsid w:val="00B02D22"/>
    <w:rsid w:val="00B03274"/>
    <w:rsid w:val="00B0361A"/>
    <w:rsid w:val="00B038D6"/>
    <w:rsid w:val="00B03C66"/>
    <w:rsid w:val="00B03FF6"/>
    <w:rsid w:val="00B040D2"/>
    <w:rsid w:val="00B041D7"/>
    <w:rsid w:val="00B04320"/>
    <w:rsid w:val="00B045D9"/>
    <w:rsid w:val="00B04944"/>
    <w:rsid w:val="00B04EE7"/>
    <w:rsid w:val="00B050DD"/>
    <w:rsid w:val="00B052AD"/>
    <w:rsid w:val="00B05569"/>
    <w:rsid w:val="00B0585A"/>
    <w:rsid w:val="00B065AC"/>
    <w:rsid w:val="00B06852"/>
    <w:rsid w:val="00B06A20"/>
    <w:rsid w:val="00B06E50"/>
    <w:rsid w:val="00B0743C"/>
    <w:rsid w:val="00B07BE4"/>
    <w:rsid w:val="00B07FF5"/>
    <w:rsid w:val="00B108F2"/>
    <w:rsid w:val="00B10E59"/>
    <w:rsid w:val="00B1150F"/>
    <w:rsid w:val="00B11855"/>
    <w:rsid w:val="00B11AC8"/>
    <w:rsid w:val="00B11CC9"/>
    <w:rsid w:val="00B122F8"/>
    <w:rsid w:val="00B12D57"/>
    <w:rsid w:val="00B13240"/>
    <w:rsid w:val="00B135FC"/>
    <w:rsid w:val="00B136C0"/>
    <w:rsid w:val="00B138C7"/>
    <w:rsid w:val="00B14374"/>
    <w:rsid w:val="00B14AEE"/>
    <w:rsid w:val="00B14B55"/>
    <w:rsid w:val="00B14DBF"/>
    <w:rsid w:val="00B153B2"/>
    <w:rsid w:val="00B1563C"/>
    <w:rsid w:val="00B15953"/>
    <w:rsid w:val="00B15B2C"/>
    <w:rsid w:val="00B15EDA"/>
    <w:rsid w:val="00B168FD"/>
    <w:rsid w:val="00B16977"/>
    <w:rsid w:val="00B169A1"/>
    <w:rsid w:val="00B17668"/>
    <w:rsid w:val="00B1784D"/>
    <w:rsid w:val="00B17B76"/>
    <w:rsid w:val="00B17CC0"/>
    <w:rsid w:val="00B202D8"/>
    <w:rsid w:val="00B2048A"/>
    <w:rsid w:val="00B20972"/>
    <w:rsid w:val="00B20FAE"/>
    <w:rsid w:val="00B21439"/>
    <w:rsid w:val="00B21966"/>
    <w:rsid w:val="00B21E97"/>
    <w:rsid w:val="00B22109"/>
    <w:rsid w:val="00B2255D"/>
    <w:rsid w:val="00B230A8"/>
    <w:rsid w:val="00B23188"/>
    <w:rsid w:val="00B23194"/>
    <w:rsid w:val="00B236B3"/>
    <w:rsid w:val="00B23E32"/>
    <w:rsid w:val="00B23E5D"/>
    <w:rsid w:val="00B2407A"/>
    <w:rsid w:val="00B24420"/>
    <w:rsid w:val="00B2474F"/>
    <w:rsid w:val="00B248C4"/>
    <w:rsid w:val="00B248C7"/>
    <w:rsid w:val="00B24BA0"/>
    <w:rsid w:val="00B24F02"/>
    <w:rsid w:val="00B25310"/>
    <w:rsid w:val="00B2587F"/>
    <w:rsid w:val="00B25AA1"/>
    <w:rsid w:val="00B25C85"/>
    <w:rsid w:val="00B26A85"/>
    <w:rsid w:val="00B26C02"/>
    <w:rsid w:val="00B27145"/>
    <w:rsid w:val="00B27993"/>
    <w:rsid w:val="00B27A3C"/>
    <w:rsid w:val="00B30368"/>
    <w:rsid w:val="00B3046D"/>
    <w:rsid w:val="00B30842"/>
    <w:rsid w:val="00B308BA"/>
    <w:rsid w:val="00B30D5B"/>
    <w:rsid w:val="00B30FF5"/>
    <w:rsid w:val="00B31163"/>
    <w:rsid w:val="00B31267"/>
    <w:rsid w:val="00B31818"/>
    <w:rsid w:val="00B3195E"/>
    <w:rsid w:val="00B31AED"/>
    <w:rsid w:val="00B31D17"/>
    <w:rsid w:val="00B31FF6"/>
    <w:rsid w:val="00B320BF"/>
    <w:rsid w:val="00B3256B"/>
    <w:rsid w:val="00B3289D"/>
    <w:rsid w:val="00B328C8"/>
    <w:rsid w:val="00B32DDF"/>
    <w:rsid w:val="00B33546"/>
    <w:rsid w:val="00B33EEC"/>
    <w:rsid w:val="00B341D8"/>
    <w:rsid w:val="00B3447C"/>
    <w:rsid w:val="00B34640"/>
    <w:rsid w:val="00B3470F"/>
    <w:rsid w:val="00B348E3"/>
    <w:rsid w:val="00B34F0D"/>
    <w:rsid w:val="00B34F89"/>
    <w:rsid w:val="00B35B89"/>
    <w:rsid w:val="00B35DA0"/>
    <w:rsid w:val="00B35FA0"/>
    <w:rsid w:val="00B369FB"/>
    <w:rsid w:val="00B36A0A"/>
    <w:rsid w:val="00B36A5C"/>
    <w:rsid w:val="00B37073"/>
    <w:rsid w:val="00B376C5"/>
    <w:rsid w:val="00B378C4"/>
    <w:rsid w:val="00B4019D"/>
    <w:rsid w:val="00B4022E"/>
    <w:rsid w:val="00B40379"/>
    <w:rsid w:val="00B40551"/>
    <w:rsid w:val="00B40C33"/>
    <w:rsid w:val="00B4129C"/>
    <w:rsid w:val="00B4144E"/>
    <w:rsid w:val="00B416AD"/>
    <w:rsid w:val="00B420CB"/>
    <w:rsid w:val="00B42195"/>
    <w:rsid w:val="00B4278C"/>
    <w:rsid w:val="00B42A98"/>
    <w:rsid w:val="00B4314C"/>
    <w:rsid w:val="00B433C6"/>
    <w:rsid w:val="00B4358C"/>
    <w:rsid w:val="00B43CDA"/>
    <w:rsid w:val="00B43FA3"/>
    <w:rsid w:val="00B4478C"/>
    <w:rsid w:val="00B44BC3"/>
    <w:rsid w:val="00B44D70"/>
    <w:rsid w:val="00B44D95"/>
    <w:rsid w:val="00B45009"/>
    <w:rsid w:val="00B45440"/>
    <w:rsid w:val="00B45B82"/>
    <w:rsid w:val="00B45D88"/>
    <w:rsid w:val="00B45F46"/>
    <w:rsid w:val="00B45F5F"/>
    <w:rsid w:val="00B45FF6"/>
    <w:rsid w:val="00B46084"/>
    <w:rsid w:val="00B46135"/>
    <w:rsid w:val="00B4693F"/>
    <w:rsid w:val="00B46D41"/>
    <w:rsid w:val="00B471D2"/>
    <w:rsid w:val="00B47975"/>
    <w:rsid w:val="00B47B2F"/>
    <w:rsid w:val="00B47D92"/>
    <w:rsid w:val="00B47E6C"/>
    <w:rsid w:val="00B47F0E"/>
    <w:rsid w:val="00B47F57"/>
    <w:rsid w:val="00B501D2"/>
    <w:rsid w:val="00B503B6"/>
    <w:rsid w:val="00B50668"/>
    <w:rsid w:val="00B5087F"/>
    <w:rsid w:val="00B50A1B"/>
    <w:rsid w:val="00B50AF5"/>
    <w:rsid w:val="00B50CE4"/>
    <w:rsid w:val="00B50D3D"/>
    <w:rsid w:val="00B50E40"/>
    <w:rsid w:val="00B51541"/>
    <w:rsid w:val="00B51816"/>
    <w:rsid w:val="00B51A0F"/>
    <w:rsid w:val="00B527B2"/>
    <w:rsid w:val="00B52970"/>
    <w:rsid w:val="00B52B83"/>
    <w:rsid w:val="00B52FB9"/>
    <w:rsid w:val="00B537F2"/>
    <w:rsid w:val="00B53810"/>
    <w:rsid w:val="00B53BF7"/>
    <w:rsid w:val="00B544D4"/>
    <w:rsid w:val="00B54784"/>
    <w:rsid w:val="00B54B16"/>
    <w:rsid w:val="00B54E17"/>
    <w:rsid w:val="00B54F42"/>
    <w:rsid w:val="00B5538A"/>
    <w:rsid w:val="00B55398"/>
    <w:rsid w:val="00B555D6"/>
    <w:rsid w:val="00B558D3"/>
    <w:rsid w:val="00B55B9F"/>
    <w:rsid w:val="00B55E78"/>
    <w:rsid w:val="00B5610A"/>
    <w:rsid w:val="00B5650F"/>
    <w:rsid w:val="00B5673D"/>
    <w:rsid w:val="00B56A1A"/>
    <w:rsid w:val="00B56B94"/>
    <w:rsid w:val="00B5729A"/>
    <w:rsid w:val="00B57E37"/>
    <w:rsid w:val="00B60259"/>
    <w:rsid w:val="00B6056F"/>
    <w:rsid w:val="00B60BD9"/>
    <w:rsid w:val="00B60C68"/>
    <w:rsid w:val="00B6146E"/>
    <w:rsid w:val="00B6161A"/>
    <w:rsid w:val="00B61C62"/>
    <w:rsid w:val="00B61CB6"/>
    <w:rsid w:val="00B62304"/>
    <w:rsid w:val="00B629F5"/>
    <w:rsid w:val="00B62A28"/>
    <w:rsid w:val="00B62E88"/>
    <w:rsid w:val="00B62EA1"/>
    <w:rsid w:val="00B637E6"/>
    <w:rsid w:val="00B63846"/>
    <w:rsid w:val="00B63971"/>
    <w:rsid w:val="00B63D0C"/>
    <w:rsid w:val="00B63ED8"/>
    <w:rsid w:val="00B6494C"/>
    <w:rsid w:val="00B65024"/>
    <w:rsid w:val="00B6515B"/>
    <w:rsid w:val="00B65BE4"/>
    <w:rsid w:val="00B66017"/>
    <w:rsid w:val="00B6614F"/>
    <w:rsid w:val="00B6619D"/>
    <w:rsid w:val="00B661B6"/>
    <w:rsid w:val="00B67162"/>
    <w:rsid w:val="00B67998"/>
    <w:rsid w:val="00B67C80"/>
    <w:rsid w:val="00B67D44"/>
    <w:rsid w:val="00B70095"/>
    <w:rsid w:val="00B7051F"/>
    <w:rsid w:val="00B70C0D"/>
    <w:rsid w:val="00B712FF"/>
    <w:rsid w:val="00B71486"/>
    <w:rsid w:val="00B7169A"/>
    <w:rsid w:val="00B71916"/>
    <w:rsid w:val="00B71B27"/>
    <w:rsid w:val="00B71BF2"/>
    <w:rsid w:val="00B71F0B"/>
    <w:rsid w:val="00B721A6"/>
    <w:rsid w:val="00B723C4"/>
    <w:rsid w:val="00B725D8"/>
    <w:rsid w:val="00B72CAE"/>
    <w:rsid w:val="00B72EF1"/>
    <w:rsid w:val="00B7416D"/>
    <w:rsid w:val="00B74571"/>
    <w:rsid w:val="00B74586"/>
    <w:rsid w:val="00B74594"/>
    <w:rsid w:val="00B747FF"/>
    <w:rsid w:val="00B74BDE"/>
    <w:rsid w:val="00B74EF1"/>
    <w:rsid w:val="00B7507F"/>
    <w:rsid w:val="00B752B9"/>
    <w:rsid w:val="00B758EB"/>
    <w:rsid w:val="00B75F5B"/>
    <w:rsid w:val="00B765BC"/>
    <w:rsid w:val="00B7671F"/>
    <w:rsid w:val="00B7698E"/>
    <w:rsid w:val="00B76A63"/>
    <w:rsid w:val="00B7748A"/>
    <w:rsid w:val="00B77519"/>
    <w:rsid w:val="00B7756D"/>
    <w:rsid w:val="00B77716"/>
    <w:rsid w:val="00B77A8D"/>
    <w:rsid w:val="00B77EE5"/>
    <w:rsid w:val="00B801BB"/>
    <w:rsid w:val="00B8034E"/>
    <w:rsid w:val="00B815DE"/>
    <w:rsid w:val="00B819C8"/>
    <w:rsid w:val="00B82007"/>
    <w:rsid w:val="00B823AB"/>
    <w:rsid w:val="00B827D4"/>
    <w:rsid w:val="00B8302D"/>
    <w:rsid w:val="00B836D6"/>
    <w:rsid w:val="00B836E4"/>
    <w:rsid w:val="00B83CBF"/>
    <w:rsid w:val="00B84AAB"/>
    <w:rsid w:val="00B857FD"/>
    <w:rsid w:val="00B85829"/>
    <w:rsid w:val="00B85995"/>
    <w:rsid w:val="00B85C0A"/>
    <w:rsid w:val="00B85DE1"/>
    <w:rsid w:val="00B866CC"/>
    <w:rsid w:val="00B86901"/>
    <w:rsid w:val="00B86D6E"/>
    <w:rsid w:val="00B87181"/>
    <w:rsid w:val="00B8739A"/>
    <w:rsid w:val="00B8756F"/>
    <w:rsid w:val="00B87B1D"/>
    <w:rsid w:val="00B87CAE"/>
    <w:rsid w:val="00B87CC8"/>
    <w:rsid w:val="00B87E99"/>
    <w:rsid w:val="00B87F49"/>
    <w:rsid w:val="00B90367"/>
    <w:rsid w:val="00B91BBB"/>
    <w:rsid w:val="00B91C84"/>
    <w:rsid w:val="00B91DBD"/>
    <w:rsid w:val="00B926AA"/>
    <w:rsid w:val="00B928EE"/>
    <w:rsid w:val="00B93066"/>
    <w:rsid w:val="00B932A9"/>
    <w:rsid w:val="00B93AC5"/>
    <w:rsid w:val="00B93C2C"/>
    <w:rsid w:val="00B93EB6"/>
    <w:rsid w:val="00B94681"/>
    <w:rsid w:val="00B94953"/>
    <w:rsid w:val="00B94A4E"/>
    <w:rsid w:val="00B94DFE"/>
    <w:rsid w:val="00B951AC"/>
    <w:rsid w:val="00B9528C"/>
    <w:rsid w:val="00B95309"/>
    <w:rsid w:val="00B95A91"/>
    <w:rsid w:val="00B95BE6"/>
    <w:rsid w:val="00B9607C"/>
    <w:rsid w:val="00B96787"/>
    <w:rsid w:val="00B96D22"/>
    <w:rsid w:val="00B9757E"/>
    <w:rsid w:val="00B978C2"/>
    <w:rsid w:val="00BA00FF"/>
    <w:rsid w:val="00BA03DD"/>
    <w:rsid w:val="00BA1F18"/>
    <w:rsid w:val="00BA2A2F"/>
    <w:rsid w:val="00BA3216"/>
    <w:rsid w:val="00BA3695"/>
    <w:rsid w:val="00BA3C09"/>
    <w:rsid w:val="00BA3C10"/>
    <w:rsid w:val="00BA3DDE"/>
    <w:rsid w:val="00BA3E63"/>
    <w:rsid w:val="00BA3F29"/>
    <w:rsid w:val="00BA4081"/>
    <w:rsid w:val="00BA40F9"/>
    <w:rsid w:val="00BA43FC"/>
    <w:rsid w:val="00BA44C2"/>
    <w:rsid w:val="00BA45DA"/>
    <w:rsid w:val="00BA47DC"/>
    <w:rsid w:val="00BA4A33"/>
    <w:rsid w:val="00BA4B76"/>
    <w:rsid w:val="00BA4EFF"/>
    <w:rsid w:val="00BA4F8C"/>
    <w:rsid w:val="00BA51BD"/>
    <w:rsid w:val="00BA5B66"/>
    <w:rsid w:val="00BA6128"/>
    <w:rsid w:val="00BA686A"/>
    <w:rsid w:val="00BA6F0A"/>
    <w:rsid w:val="00BA710C"/>
    <w:rsid w:val="00BA7457"/>
    <w:rsid w:val="00BA75F8"/>
    <w:rsid w:val="00BA770C"/>
    <w:rsid w:val="00BA7E3F"/>
    <w:rsid w:val="00BB00EB"/>
    <w:rsid w:val="00BB0154"/>
    <w:rsid w:val="00BB07DA"/>
    <w:rsid w:val="00BB089F"/>
    <w:rsid w:val="00BB0C88"/>
    <w:rsid w:val="00BB0D39"/>
    <w:rsid w:val="00BB0F2F"/>
    <w:rsid w:val="00BB1071"/>
    <w:rsid w:val="00BB14CE"/>
    <w:rsid w:val="00BB1C66"/>
    <w:rsid w:val="00BB1D73"/>
    <w:rsid w:val="00BB1F90"/>
    <w:rsid w:val="00BB290B"/>
    <w:rsid w:val="00BB293C"/>
    <w:rsid w:val="00BB2A53"/>
    <w:rsid w:val="00BB2C58"/>
    <w:rsid w:val="00BB2ED2"/>
    <w:rsid w:val="00BB3219"/>
    <w:rsid w:val="00BB331B"/>
    <w:rsid w:val="00BB3524"/>
    <w:rsid w:val="00BB37B5"/>
    <w:rsid w:val="00BB4908"/>
    <w:rsid w:val="00BB4916"/>
    <w:rsid w:val="00BB49A5"/>
    <w:rsid w:val="00BB4D15"/>
    <w:rsid w:val="00BB5413"/>
    <w:rsid w:val="00BB58D6"/>
    <w:rsid w:val="00BB607E"/>
    <w:rsid w:val="00BB647F"/>
    <w:rsid w:val="00BB64DE"/>
    <w:rsid w:val="00BB66D6"/>
    <w:rsid w:val="00BB6A03"/>
    <w:rsid w:val="00BB6C9F"/>
    <w:rsid w:val="00BB6E24"/>
    <w:rsid w:val="00BB756B"/>
    <w:rsid w:val="00BB7629"/>
    <w:rsid w:val="00BB7C1E"/>
    <w:rsid w:val="00BB7D99"/>
    <w:rsid w:val="00BC0145"/>
    <w:rsid w:val="00BC04E3"/>
    <w:rsid w:val="00BC1037"/>
    <w:rsid w:val="00BC119E"/>
    <w:rsid w:val="00BC17AE"/>
    <w:rsid w:val="00BC1B64"/>
    <w:rsid w:val="00BC1E33"/>
    <w:rsid w:val="00BC1E5E"/>
    <w:rsid w:val="00BC1F58"/>
    <w:rsid w:val="00BC1F5E"/>
    <w:rsid w:val="00BC2832"/>
    <w:rsid w:val="00BC2E8A"/>
    <w:rsid w:val="00BC3947"/>
    <w:rsid w:val="00BC3A76"/>
    <w:rsid w:val="00BC3CF9"/>
    <w:rsid w:val="00BC3D0C"/>
    <w:rsid w:val="00BC3D61"/>
    <w:rsid w:val="00BC3D91"/>
    <w:rsid w:val="00BC3E35"/>
    <w:rsid w:val="00BC44FE"/>
    <w:rsid w:val="00BC4830"/>
    <w:rsid w:val="00BC502B"/>
    <w:rsid w:val="00BC540F"/>
    <w:rsid w:val="00BC5760"/>
    <w:rsid w:val="00BC58B5"/>
    <w:rsid w:val="00BC60A2"/>
    <w:rsid w:val="00BC62B7"/>
    <w:rsid w:val="00BC6432"/>
    <w:rsid w:val="00BC679E"/>
    <w:rsid w:val="00BC68EB"/>
    <w:rsid w:val="00BC7335"/>
    <w:rsid w:val="00BC7511"/>
    <w:rsid w:val="00BC770A"/>
    <w:rsid w:val="00BC7758"/>
    <w:rsid w:val="00BC7A66"/>
    <w:rsid w:val="00BC7C56"/>
    <w:rsid w:val="00BC7C79"/>
    <w:rsid w:val="00BD0074"/>
    <w:rsid w:val="00BD01D6"/>
    <w:rsid w:val="00BD0623"/>
    <w:rsid w:val="00BD0AEB"/>
    <w:rsid w:val="00BD0DA0"/>
    <w:rsid w:val="00BD1015"/>
    <w:rsid w:val="00BD10B5"/>
    <w:rsid w:val="00BD1417"/>
    <w:rsid w:val="00BD162A"/>
    <w:rsid w:val="00BD2221"/>
    <w:rsid w:val="00BD22B9"/>
    <w:rsid w:val="00BD2E3C"/>
    <w:rsid w:val="00BD2FD2"/>
    <w:rsid w:val="00BD30E6"/>
    <w:rsid w:val="00BD3157"/>
    <w:rsid w:val="00BD351F"/>
    <w:rsid w:val="00BD3661"/>
    <w:rsid w:val="00BD36D6"/>
    <w:rsid w:val="00BD3B51"/>
    <w:rsid w:val="00BD3BD3"/>
    <w:rsid w:val="00BD4182"/>
    <w:rsid w:val="00BD4478"/>
    <w:rsid w:val="00BD4933"/>
    <w:rsid w:val="00BD4DD9"/>
    <w:rsid w:val="00BD5454"/>
    <w:rsid w:val="00BD566F"/>
    <w:rsid w:val="00BD570C"/>
    <w:rsid w:val="00BD58C6"/>
    <w:rsid w:val="00BD630E"/>
    <w:rsid w:val="00BD65CB"/>
    <w:rsid w:val="00BD6ACE"/>
    <w:rsid w:val="00BD6DDB"/>
    <w:rsid w:val="00BD761B"/>
    <w:rsid w:val="00BD76DB"/>
    <w:rsid w:val="00BD7A66"/>
    <w:rsid w:val="00BD7CF2"/>
    <w:rsid w:val="00BE0070"/>
    <w:rsid w:val="00BE01D8"/>
    <w:rsid w:val="00BE09FB"/>
    <w:rsid w:val="00BE0A65"/>
    <w:rsid w:val="00BE0DF7"/>
    <w:rsid w:val="00BE1059"/>
    <w:rsid w:val="00BE1551"/>
    <w:rsid w:val="00BE1C30"/>
    <w:rsid w:val="00BE1C80"/>
    <w:rsid w:val="00BE1FD5"/>
    <w:rsid w:val="00BE22B6"/>
    <w:rsid w:val="00BE2D69"/>
    <w:rsid w:val="00BE2E4A"/>
    <w:rsid w:val="00BE34B5"/>
    <w:rsid w:val="00BE3E01"/>
    <w:rsid w:val="00BE469B"/>
    <w:rsid w:val="00BE46C9"/>
    <w:rsid w:val="00BE48EB"/>
    <w:rsid w:val="00BE4F37"/>
    <w:rsid w:val="00BE59A6"/>
    <w:rsid w:val="00BE5C6A"/>
    <w:rsid w:val="00BE6172"/>
    <w:rsid w:val="00BE61D8"/>
    <w:rsid w:val="00BE6679"/>
    <w:rsid w:val="00BE6BA9"/>
    <w:rsid w:val="00BE7916"/>
    <w:rsid w:val="00BE7B21"/>
    <w:rsid w:val="00BE7BCE"/>
    <w:rsid w:val="00BE7BE7"/>
    <w:rsid w:val="00BE7D70"/>
    <w:rsid w:val="00BE7E44"/>
    <w:rsid w:val="00BF03DD"/>
    <w:rsid w:val="00BF0DF5"/>
    <w:rsid w:val="00BF1048"/>
    <w:rsid w:val="00BF110F"/>
    <w:rsid w:val="00BF1150"/>
    <w:rsid w:val="00BF1612"/>
    <w:rsid w:val="00BF169C"/>
    <w:rsid w:val="00BF1846"/>
    <w:rsid w:val="00BF1A7D"/>
    <w:rsid w:val="00BF1ADE"/>
    <w:rsid w:val="00BF1EBF"/>
    <w:rsid w:val="00BF22E4"/>
    <w:rsid w:val="00BF2306"/>
    <w:rsid w:val="00BF2CDF"/>
    <w:rsid w:val="00BF3059"/>
    <w:rsid w:val="00BF3974"/>
    <w:rsid w:val="00BF3EDD"/>
    <w:rsid w:val="00BF411E"/>
    <w:rsid w:val="00BF41E7"/>
    <w:rsid w:val="00BF4234"/>
    <w:rsid w:val="00BF44CE"/>
    <w:rsid w:val="00BF4A4A"/>
    <w:rsid w:val="00BF4D13"/>
    <w:rsid w:val="00BF5229"/>
    <w:rsid w:val="00BF528B"/>
    <w:rsid w:val="00BF5596"/>
    <w:rsid w:val="00BF5736"/>
    <w:rsid w:val="00BF58CA"/>
    <w:rsid w:val="00BF5AE5"/>
    <w:rsid w:val="00BF5BED"/>
    <w:rsid w:val="00BF5C31"/>
    <w:rsid w:val="00BF68DE"/>
    <w:rsid w:val="00BF696B"/>
    <w:rsid w:val="00BF6D3A"/>
    <w:rsid w:val="00BF6DE6"/>
    <w:rsid w:val="00BF6E32"/>
    <w:rsid w:val="00BF7180"/>
    <w:rsid w:val="00BF73E6"/>
    <w:rsid w:val="00BF77FB"/>
    <w:rsid w:val="00BF78B7"/>
    <w:rsid w:val="00BF7ACC"/>
    <w:rsid w:val="00BF7CD5"/>
    <w:rsid w:val="00BF7DFF"/>
    <w:rsid w:val="00C018A7"/>
    <w:rsid w:val="00C01C69"/>
    <w:rsid w:val="00C022AB"/>
    <w:rsid w:val="00C02755"/>
    <w:rsid w:val="00C02940"/>
    <w:rsid w:val="00C03644"/>
    <w:rsid w:val="00C03811"/>
    <w:rsid w:val="00C03A60"/>
    <w:rsid w:val="00C042EE"/>
    <w:rsid w:val="00C045F5"/>
    <w:rsid w:val="00C04ECE"/>
    <w:rsid w:val="00C053B0"/>
    <w:rsid w:val="00C05492"/>
    <w:rsid w:val="00C055D3"/>
    <w:rsid w:val="00C05757"/>
    <w:rsid w:val="00C05888"/>
    <w:rsid w:val="00C05936"/>
    <w:rsid w:val="00C059CB"/>
    <w:rsid w:val="00C05B2B"/>
    <w:rsid w:val="00C06463"/>
    <w:rsid w:val="00C06596"/>
    <w:rsid w:val="00C065A1"/>
    <w:rsid w:val="00C0698E"/>
    <w:rsid w:val="00C069AE"/>
    <w:rsid w:val="00C06D10"/>
    <w:rsid w:val="00C06D44"/>
    <w:rsid w:val="00C06EE2"/>
    <w:rsid w:val="00C06FF3"/>
    <w:rsid w:val="00C07433"/>
    <w:rsid w:val="00C106E7"/>
    <w:rsid w:val="00C109B9"/>
    <w:rsid w:val="00C10EE0"/>
    <w:rsid w:val="00C11093"/>
    <w:rsid w:val="00C115AD"/>
    <w:rsid w:val="00C11E92"/>
    <w:rsid w:val="00C12261"/>
    <w:rsid w:val="00C127EA"/>
    <w:rsid w:val="00C12A8F"/>
    <w:rsid w:val="00C13837"/>
    <w:rsid w:val="00C13FA1"/>
    <w:rsid w:val="00C1406C"/>
    <w:rsid w:val="00C140A6"/>
    <w:rsid w:val="00C14167"/>
    <w:rsid w:val="00C145F0"/>
    <w:rsid w:val="00C14B56"/>
    <w:rsid w:val="00C15777"/>
    <w:rsid w:val="00C15814"/>
    <w:rsid w:val="00C1585D"/>
    <w:rsid w:val="00C15971"/>
    <w:rsid w:val="00C15C9A"/>
    <w:rsid w:val="00C15FE5"/>
    <w:rsid w:val="00C161E0"/>
    <w:rsid w:val="00C16B45"/>
    <w:rsid w:val="00C16BE4"/>
    <w:rsid w:val="00C16DBE"/>
    <w:rsid w:val="00C16E8A"/>
    <w:rsid w:val="00C16ED0"/>
    <w:rsid w:val="00C170D8"/>
    <w:rsid w:val="00C17462"/>
    <w:rsid w:val="00C17DC9"/>
    <w:rsid w:val="00C20D71"/>
    <w:rsid w:val="00C2103E"/>
    <w:rsid w:val="00C210FA"/>
    <w:rsid w:val="00C21147"/>
    <w:rsid w:val="00C21173"/>
    <w:rsid w:val="00C212D0"/>
    <w:rsid w:val="00C21442"/>
    <w:rsid w:val="00C21700"/>
    <w:rsid w:val="00C21EA9"/>
    <w:rsid w:val="00C21F33"/>
    <w:rsid w:val="00C21FD7"/>
    <w:rsid w:val="00C220E2"/>
    <w:rsid w:val="00C22616"/>
    <w:rsid w:val="00C22B49"/>
    <w:rsid w:val="00C22ECC"/>
    <w:rsid w:val="00C232F0"/>
    <w:rsid w:val="00C233D8"/>
    <w:rsid w:val="00C2359E"/>
    <w:rsid w:val="00C236DC"/>
    <w:rsid w:val="00C23855"/>
    <w:rsid w:val="00C23DCD"/>
    <w:rsid w:val="00C24668"/>
    <w:rsid w:val="00C24999"/>
    <w:rsid w:val="00C25031"/>
    <w:rsid w:val="00C2538B"/>
    <w:rsid w:val="00C25D80"/>
    <w:rsid w:val="00C25D8D"/>
    <w:rsid w:val="00C265A7"/>
    <w:rsid w:val="00C265B6"/>
    <w:rsid w:val="00C26967"/>
    <w:rsid w:val="00C27133"/>
    <w:rsid w:val="00C272BB"/>
    <w:rsid w:val="00C2743B"/>
    <w:rsid w:val="00C27670"/>
    <w:rsid w:val="00C303B1"/>
    <w:rsid w:val="00C30936"/>
    <w:rsid w:val="00C30B0B"/>
    <w:rsid w:val="00C310A6"/>
    <w:rsid w:val="00C3186E"/>
    <w:rsid w:val="00C31D63"/>
    <w:rsid w:val="00C31E90"/>
    <w:rsid w:val="00C327D9"/>
    <w:rsid w:val="00C3288A"/>
    <w:rsid w:val="00C32919"/>
    <w:rsid w:val="00C32B93"/>
    <w:rsid w:val="00C32D3C"/>
    <w:rsid w:val="00C32D98"/>
    <w:rsid w:val="00C32E73"/>
    <w:rsid w:val="00C33707"/>
    <w:rsid w:val="00C33A14"/>
    <w:rsid w:val="00C33D62"/>
    <w:rsid w:val="00C3416C"/>
    <w:rsid w:val="00C342AD"/>
    <w:rsid w:val="00C343A3"/>
    <w:rsid w:val="00C349EA"/>
    <w:rsid w:val="00C34A75"/>
    <w:rsid w:val="00C34ACC"/>
    <w:rsid w:val="00C35D26"/>
    <w:rsid w:val="00C3630F"/>
    <w:rsid w:val="00C364D1"/>
    <w:rsid w:val="00C36A9C"/>
    <w:rsid w:val="00C36B15"/>
    <w:rsid w:val="00C36B9D"/>
    <w:rsid w:val="00C36C89"/>
    <w:rsid w:val="00C37868"/>
    <w:rsid w:val="00C37FA2"/>
    <w:rsid w:val="00C404B2"/>
    <w:rsid w:val="00C40B42"/>
    <w:rsid w:val="00C41532"/>
    <w:rsid w:val="00C41B13"/>
    <w:rsid w:val="00C4201D"/>
    <w:rsid w:val="00C42496"/>
    <w:rsid w:val="00C429DA"/>
    <w:rsid w:val="00C42F56"/>
    <w:rsid w:val="00C430A6"/>
    <w:rsid w:val="00C430B6"/>
    <w:rsid w:val="00C430B7"/>
    <w:rsid w:val="00C4329D"/>
    <w:rsid w:val="00C4364A"/>
    <w:rsid w:val="00C43A71"/>
    <w:rsid w:val="00C43CF9"/>
    <w:rsid w:val="00C446FB"/>
    <w:rsid w:val="00C448EB"/>
    <w:rsid w:val="00C4535A"/>
    <w:rsid w:val="00C45AB4"/>
    <w:rsid w:val="00C46178"/>
    <w:rsid w:val="00C46C8F"/>
    <w:rsid w:val="00C4708B"/>
    <w:rsid w:val="00C47677"/>
    <w:rsid w:val="00C4779F"/>
    <w:rsid w:val="00C477BC"/>
    <w:rsid w:val="00C47DF3"/>
    <w:rsid w:val="00C500FD"/>
    <w:rsid w:val="00C501C1"/>
    <w:rsid w:val="00C501E4"/>
    <w:rsid w:val="00C50AF8"/>
    <w:rsid w:val="00C50D3A"/>
    <w:rsid w:val="00C50DA5"/>
    <w:rsid w:val="00C50FCD"/>
    <w:rsid w:val="00C51113"/>
    <w:rsid w:val="00C51464"/>
    <w:rsid w:val="00C519FA"/>
    <w:rsid w:val="00C51A2D"/>
    <w:rsid w:val="00C5259B"/>
    <w:rsid w:val="00C52940"/>
    <w:rsid w:val="00C52946"/>
    <w:rsid w:val="00C52B81"/>
    <w:rsid w:val="00C53149"/>
    <w:rsid w:val="00C53550"/>
    <w:rsid w:val="00C53631"/>
    <w:rsid w:val="00C536C5"/>
    <w:rsid w:val="00C53AB0"/>
    <w:rsid w:val="00C54582"/>
    <w:rsid w:val="00C54724"/>
    <w:rsid w:val="00C54ECF"/>
    <w:rsid w:val="00C54F60"/>
    <w:rsid w:val="00C54FAA"/>
    <w:rsid w:val="00C55503"/>
    <w:rsid w:val="00C561F5"/>
    <w:rsid w:val="00C5692C"/>
    <w:rsid w:val="00C56A35"/>
    <w:rsid w:val="00C56B54"/>
    <w:rsid w:val="00C56C25"/>
    <w:rsid w:val="00C56CA6"/>
    <w:rsid w:val="00C56EDD"/>
    <w:rsid w:val="00C56F57"/>
    <w:rsid w:val="00C57A8C"/>
    <w:rsid w:val="00C57EF4"/>
    <w:rsid w:val="00C605A4"/>
    <w:rsid w:val="00C607DD"/>
    <w:rsid w:val="00C60AA6"/>
    <w:rsid w:val="00C60BC3"/>
    <w:rsid w:val="00C6100D"/>
    <w:rsid w:val="00C610DD"/>
    <w:rsid w:val="00C61599"/>
    <w:rsid w:val="00C615DD"/>
    <w:rsid w:val="00C6179B"/>
    <w:rsid w:val="00C6181F"/>
    <w:rsid w:val="00C61C2C"/>
    <w:rsid w:val="00C61D75"/>
    <w:rsid w:val="00C625D2"/>
    <w:rsid w:val="00C6287D"/>
    <w:rsid w:val="00C62EEE"/>
    <w:rsid w:val="00C631B6"/>
    <w:rsid w:val="00C6347C"/>
    <w:rsid w:val="00C634E7"/>
    <w:rsid w:val="00C635FA"/>
    <w:rsid w:val="00C6406D"/>
    <w:rsid w:val="00C64218"/>
    <w:rsid w:val="00C6424A"/>
    <w:rsid w:val="00C646E2"/>
    <w:rsid w:val="00C64878"/>
    <w:rsid w:val="00C648DB"/>
    <w:rsid w:val="00C64A5A"/>
    <w:rsid w:val="00C64B39"/>
    <w:rsid w:val="00C64D07"/>
    <w:rsid w:val="00C64E00"/>
    <w:rsid w:val="00C64FC5"/>
    <w:rsid w:val="00C6539B"/>
    <w:rsid w:val="00C656DC"/>
    <w:rsid w:val="00C659D9"/>
    <w:rsid w:val="00C65A14"/>
    <w:rsid w:val="00C65BD3"/>
    <w:rsid w:val="00C65FD4"/>
    <w:rsid w:val="00C6663B"/>
    <w:rsid w:val="00C66893"/>
    <w:rsid w:val="00C66AEB"/>
    <w:rsid w:val="00C676FE"/>
    <w:rsid w:val="00C6783B"/>
    <w:rsid w:val="00C67CDA"/>
    <w:rsid w:val="00C67E01"/>
    <w:rsid w:val="00C701A8"/>
    <w:rsid w:val="00C7081F"/>
    <w:rsid w:val="00C70957"/>
    <w:rsid w:val="00C70DE9"/>
    <w:rsid w:val="00C70F10"/>
    <w:rsid w:val="00C70F71"/>
    <w:rsid w:val="00C70F81"/>
    <w:rsid w:val="00C710D0"/>
    <w:rsid w:val="00C718DF"/>
    <w:rsid w:val="00C71B4D"/>
    <w:rsid w:val="00C71C20"/>
    <w:rsid w:val="00C724F8"/>
    <w:rsid w:val="00C72502"/>
    <w:rsid w:val="00C72904"/>
    <w:rsid w:val="00C73382"/>
    <w:rsid w:val="00C734C6"/>
    <w:rsid w:val="00C73C37"/>
    <w:rsid w:val="00C73FC7"/>
    <w:rsid w:val="00C74763"/>
    <w:rsid w:val="00C75141"/>
    <w:rsid w:val="00C75520"/>
    <w:rsid w:val="00C755FD"/>
    <w:rsid w:val="00C75794"/>
    <w:rsid w:val="00C7580C"/>
    <w:rsid w:val="00C76398"/>
    <w:rsid w:val="00C7678D"/>
    <w:rsid w:val="00C76A8C"/>
    <w:rsid w:val="00C76B59"/>
    <w:rsid w:val="00C76D36"/>
    <w:rsid w:val="00C77B67"/>
    <w:rsid w:val="00C80796"/>
    <w:rsid w:val="00C80B26"/>
    <w:rsid w:val="00C811AB"/>
    <w:rsid w:val="00C8155A"/>
    <w:rsid w:val="00C8198C"/>
    <w:rsid w:val="00C81A0D"/>
    <w:rsid w:val="00C8210B"/>
    <w:rsid w:val="00C82667"/>
    <w:rsid w:val="00C82A17"/>
    <w:rsid w:val="00C8329C"/>
    <w:rsid w:val="00C8369C"/>
    <w:rsid w:val="00C839A9"/>
    <w:rsid w:val="00C839DC"/>
    <w:rsid w:val="00C83EC6"/>
    <w:rsid w:val="00C84193"/>
    <w:rsid w:val="00C841AE"/>
    <w:rsid w:val="00C842DC"/>
    <w:rsid w:val="00C844BD"/>
    <w:rsid w:val="00C84A02"/>
    <w:rsid w:val="00C85187"/>
    <w:rsid w:val="00C8535A"/>
    <w:rsid w:val="00C857AE"/>
    <w:rsid w:val="00C8618B"/>
    <w:rsid w:val="00C864AD"/>
    <w:rsid w:val="00C86594"/>
    <w:rsid w:val="00C875D1"/>
    <w:rsid w:val="00C87603"/>
    <w:rsid w:val="00C878C5"/>
    <w:rsid w:val="00C90337"/>
    <w:rsid w:val="00C90A73"/>
    <w:rsid w:val="00C90FF9"/>
    <w:rsid w:val="00C9112C"/>
    <w:rsid w:val="00C91444"/>
    <w:rsid w:val="00C92179"/>
    <w:rsid w:val="00C92277"/>
    <w:rsid w:val="00C92FB8"/>
    <w:rsid w:val="00C931B2"/>
    <w:rsid w:val="00C932F1"/>
    <w:rsid w:val="00C9351C"/>
    <w:rsid w:val="00C935C6"/>
    <w:rsid w:val="00C9368A"/>
    <w:rsid w:val="00C93C70"/>
    <w:rsid w:val="00C93CE4"/>
    <w:rsid w:val="00C93D81"/>
    <w:rsid w:val="00C941F0"/>
    <w:rsid w:val="00C94990"/>
    <w:rsid w:val="00C95214"/>
    <w:rsid w:val="00C95508"/>
    <w:rsid w:val="00C95804"/>
    <w:rsid w:val="00C959D2"/>
    <w:rsid w:val="00C966F5"/>
    <w:rsid w:val="00C96719"/>
    <w:rsid w:val="00C967B8"/>
    <w:rsid w:val="00C9689F"/>
    <w:rsid w:val="00C96B58"/>
    <w:rsid w:val="00C9707D"/>
    <w:rsid w:val="00C9734D"/>
    <w:rsid w:val="00C97477"/>
    <w:rsid w:val="00C97E10"/>
    <w:rsid w:val="00CA0286"/>
    <w:rsid w:val="00CA0388"/>
    <w:rsid w:val="00CA0C54"/>
    <w:rsid w:val="00CA18C5"/>
    <w:rsid w:val="00CA2125"/>
    <w:rsid w:val="00CA26BE"/>
    <w:rsid w:val="00CA27B3"/>
    <w:rsid w:val="00CA27BA"/>
    <w:rsid w:val="00CA2907"/>
    <w:rsid w:val="00CA29F4"/>
    <w:rsid w:val="00CA2F35"/>
    <w:rsid w:val="00CA37EC"/>
    <w:rsid w:val="00CA3BCC"/>
    <w:rsid w:val="00CA3CE9"/>
    <w:rsid w:val="00CA3DC5"/>
    <w:rsid w:val="00CA44D6"/>
    <w:rsid w:val="00CA4814"/>
    <w:rsid w:val="00CA52CD"/>
    <w:rsid w:val="00CA581B"/>
    <w:rsid w:val="00CA5C20"/>
    <w:rsid w:val="00CA63E7"/>
    <w:rsid w:val="00CA7364"/>
    <w:rsid w:val="00CA744A"/>
    <w:rsid w:val="00CA756D"/>
    <w:rsid w:val="00CA7A41"/>
    <w:rsid w:val="00CB06CF"/>
    <w:rsid w:val="00CB0E7C"/>
    <w:rsid w:val="00CB11E7"/>
    <w:rsid w:val="00CB120B"/>
    <w:rsid w:val="00CB13C8"/>
    <w:rsid w:val="00CB1511"/>
    <w:rsid w:val="00CB17C7"/>
    <w:rsid w:val="00CB185D"/>
    <w:rsid w:val="00CB21B8"/>
    <w:rsid w:val="00CB2A08"/>
    <w:rsid w:val="00CB2BF5"/>
    <w:rsid w:val="00CB2C83"/>
    <w:rsid w:val="00CB2F01"/>
    <w:rsid w:val="00CB3718"/>
    <w:rsid w:val="00CB41BF"/>
    <w:rsid w:val="00CB41F8"/>
    <w:rsid w:val="00CB4302"/>
    <w:rsid w:val="00CB43C7"/>
    <w:rsid w:val="00CB5B67"/>
    <w:rsid w:val="00CB5FEB"/>
    <w:rsid w:val="00CB6AD9"/>
    <w:rsid w:val="00CB6C97"/>
    <w:rsid w:val="00CB708F"/>
    <w:rsid w:val="00CB74D3"/>
    <w:rsid w:val="00CB7DAB"/>
    <w:rsid w:val="00CC0A34"/>
    <w:rsid w:val="00CC0B96"/>
    <w:rsid w:val="00CC0F4B"/>
    <w:rsid w:val="00CC0F92"/>
    <w:rsid w:val="00CC1368"/>
    <w:rsid w:val="00CC1952"/>
    <w:rsid w:val="00CC196C"/>
    <w:rsid w:val="00CC1AA9"/>
    <w:rsid w:val="00CC1AC6"/>
    <w:rsid w:val="00CC1C33"/>
    <w:rsid w:val="00CC1CCA"/>
    <w:rsid w:val="00CC1D3A"/>
    <w:rsid w:val="00CC1FF5"/>
    <w:rsid w:val="00CC27A1"/>
    <w:rsid w:val="00CC29A4"/>
    <w:rsid w:val="00CC3FA9"/>
    <w:rsid w:val="00CC4059"/>
    <w:rsid w:val="00CC4AC1"/>
    <w:rsid w:val="00CC537C"/>
    <w:rsid w:val="00CC5CE8"/>
    <w:rsid w:val="00CC5E5E"/>
    <w:rsid w:val="00CC617C"/>
    <w:rsid w:val="00CC670D"/>
    <w:rsid w:val="00CC67CE"/>
    <w:rsid w:val="00CC6BE4"/>
    <w:rsid w:val="00CC6CCE"/>
    <w:rsid w:val="00CC6EDE"/>
    <w:rsid w:val="00CC6F61"/>
    <w:rsid w:val="00CC73A4"/>
    <w:rsid w:val="00CD0545"/>
    <w:rsid w:val="00CD092D"/>
    <w:rsid w:val="00CD1A04"/>
    <w:rsid w:val="00CD2310"/>
    <w:rsid w:val="00CD235A"/>
    <w:rsid w:val="00CD2CFF"/>
    <w:rsid w:val="00CD2EC2"/>
    <w:rsid w:val="00CD2FCA"/>
    <w:rsid w:val="00CD3697"/>
    <w:rsid w:val="00CD3702"/>
    <w:rsid w:val="00CD3E6B"/>
    <w:rsid w:val="00CD3ED2"/>
    <w:rsid w:val="00CD4307"/>
    <w:rsid w:val="00CD4817"/>
    <w:rsid w:val="00CD48DC"/>
    <w:rsid w:val="00CD4B82"/>
    <w:rsid w:val="00CD4D63"/>
    <w:rsid w:val="00CD50E5"/>
    <w:rsid w:val="00CD5512"/>
    <w:rsid w:val="00CD564C"/>
    <w:rsid w:val="00CD586F"/>
    <w:rsid w:val="00CD67F0"/>
    <w:rsid w:val="00CD69F5"/>
    <w:rsid w:val="00CD6B21"/>
    <w:rsid w:val="00CD6B27"/>
    <w:rsid w:val="00CD6F58"/>
    <w:rsid w:val="00CD702C"/>
    <w:rsid w:val="00CD712C"/>
    <w:rsid w:val="00CD7872"/>
    <w:rsid w:val="00CD7AEF"/>
    <w:rsid w:val="00CE0447"/>
    <w:rsid w:val="00CE05FA"/>
    <w:rsid w:val="00CE0BA7"/>
    <w:rsid w:val="00CE1BBF"/>
    <w:rsid w:val="00CE214A"/>
    <w:rsid w:val="00CE2201"/>
    <w:rsid w:val="00CE2B20"/>
    <w:rsid w:val="00CE2C88"/>
    <w:rsid w:val="00CE2D68"/>
    <w:rsid w:val="00CE2E1B"/>
    <w:rsid w:val="00CE317B"/>
    <w:rsid w:val="00CE339D"/>
    <w:rsid w:val="00CE3C77"/>
    <w:rsid w:val="00CE4623"/>
    <w:rsid w:val="00CE50C3"/>
    <w:rsid w:val="00CE5109"/>
    <w:rsid w:val="00CE5F9F"/>
    <w:rsid w:val="00CE605F"/>
    <w:rsid w:val="00CE6127"/>
    <w:rsid w:val="00CE7013"/>
    <w:rsid w:val="00CE725C"/>
    <w:rsid w:val="00CE73E3"/>
    <w:rsid w:val="00CE74E1"/>
    <w:rsid w:val="00CE7801"/>
    <w:rsid w:val="00CE7FA3"/>
    <w:rsid w:val="00CF014B"/>
    <w:rsid w:val="00CF080B"/>
    <w:rsid w:val="00CF1150"/>
    <w:rsid w:val="00CF11E2"/>
    <w:rsid w:val="00CF125E"/>
    <w:rsid w:val="00CF1874"/>
    <w:rsid w:val="00CF18CA"/>
    <w:rsid w:val="00CF1EA5"/>
    <w:rsid w:val="00CF21D9"/>
    <w:rsid w:val="00CF2429"/>
    <w:rsid w:val="00CF27C9"/>
    <w:rsid w:val="00CF2ADA"/>
    <w:rsid w:val="00CF2B8D"/>
    <w:rsid w:val="00CF2D21"/>
    <w:rsid w:val="00CF336A"/>
    <w:rsid w:val="00CF36F3"/>
    <w:rsid w:val="00CF46F0"/>
    <w:rsid w:val="00CF4750"/>
    <w:rsid w:val="00CF4FAF"/>
    <w:rsid w:val="00CF50BC"/>
    <w:rsid w:val="00CF5122"/>
    <w:rsid w:val="00CF536A"/>
    <w:rsid w:val="00CF53A8"/>
    <w:rsid w:val="00CF5E2B"/>
    <w:rsid w:val="00CF5FF8"/>
    <w:rsid w:val="00CF6BB8"/>
    <w:rsid w:val="00CF708E"/>
    <w:rsid w:val="00CF715C"/>
    <w:rsid w:val="00CF72D9"/>
    <w:rsid w:val="00CF7863"/>
    <w:rsid w:val="00CF7917"/>
    <w:rsid w:val="00CF7BC6"/>
    <w:rsid w:val="00CF7C7A"/>
    <w:rsid w:val="00CF7FE2"/>
    <w:rsid w:val="00D003CF"/>
    <w:rsid w:val="00D00429"/>
    <w:rsid w:val="00D004E3"/>
    <w:rsid w:val="00D006F1"/>
    <w:rsid w:val="00D00FD0"/>
    <w:rsid w:val="00D01151"/>
    <w:rsid w:val="00D011F6"/>
    <w:rsid w:val="00D012BF"/>
    <w:rsid w:val="00D018A5"/>
    <w:rsid w:val="00D01938"/>
    <w:rsid w:val="00D02825"/>
    <w:rsid w:val="00D02A17"/>
    <w:rsid w:val="00D034A6"/>
    <w:rsid w:val="00D0366E"/>
    <w:rsid w:val="00D0383F"/>
    <w:rsid w:val="00D03855"/>
    <w:rsid w:val="00D03B93"/>
    <w:rsid w:val="00D03CF2"/>
    <w:rsid w:val="00D03E53"/>
    <w:rsid w:val="00D049E6"/>
    <w:rsid w:val="00D05248"/>
    <w:rsid w:val="00D053D5"/>
    <w:rsid w:val="00D056E1"/>
    <w:rsid w:val="00D05991"/>
    <w:rsid w:val="00D05A02"/>
    <w:rsid w:val="00D05DB7"/>
    <w:rsid w:val="00D05E4C"/>
    <w:rsid w:val="00D05FC1"/>
    <w:rsid w:val="00D05FD3"/>
    <w:rsid w:val="00D0616B"/>
    <w:rsid w:val="00D065B5"/>
    <w:rsid w:val="00D067F7"/>
    <w:rsid w:val="00D06C86"/>
    <w:rsid w:val="00D06E2C"/>
    <w:rsid w:val="00D06FC4"/>
    <w:rsid w:val="00D0733C"/>
    <w:rsid w:val="00D07602"/>
    <w:rsid w:val="00D07BC7"/>
    <w:rsid w:val="00D101DE"/>
    <w:rsid w:val="00D10339"/>
    <w:rsid w:val="00D10FE6"/>
    <w:rsid w:val="00D11949"/>
    <w:rsid w:val="00D11D26"/>
    <w:rsid w:val="00D121DE"/>
    <w:rsid w:val="00D123E2"/>
    <w:rsid w:val="00D12A7E"/>
    <w:rsid w:val="00D13361"/>
    <w:rsid w:val="00D135A8"/>
    <w:rsid w:val="00D135E7"/>
    <w:rsid w:val="00D13D5F"/>
    <w:rsid w:val="00D13FE1"/>
    <w:rsid w:val="00D143DF"/>
    <w:rsid w:val="00D14525"/>
    <w:rsid w:val="00D1476C"/>
    <w:rsid w:val="00D14AB0"/>
    <w:rsid w:val="00D14DC2"/>
    <w:rsid w:val="00D14E79"/>
    <w:rsid w:val="00D15B0F"/>
    <w:rsid w:val="00D160C3"/>
    <w:rsid w:val="00D1632C"/>
    <w:rsid w:val="00D17642"/>
    <w:rsid w:val="00D17A56"/>
    <w:rsid w:val="00D17B51"/>
    <w:rsid w:val="00D17BA2"/>
    <w:rsid w:val="00D17E2A"/>
    <w:rsid w:val="00D17F5D"/>
    <w:rsid w:val="00D206CE"/>
    <w:rsid w:val="00D207E0"/>
    <w:rsid w:val="00D20C76"/>
    <w:rsid w:val="00D20DCA"/>
    <w:rsid w:val="00D2163D"/>
    <w:rsid w:val="00D217D8"/>
    <w:rsid w:val="00D21C44"/>
    <w:rsid w:val="00D21E11"/>
    <w:rsid w:val="00D221E8"/>
    <w:rsid w:val="00D22279"/>
    <w:rsid w:val="00D22338"/>
    <w:rsid w:val="00D223AE"/>
    <w:rsid w:val="00D2256F"/>
    <w:rsid w:val="00D22917"/>
    <w:rsid w:val="00D23144"/>
    <w:rsid w:val="00D233BF"/>
    <w:rsid w:val="00D234C2"/>
    <w:rsid w:val="00D2362F"/>
    <w:rsid w:val="00D238D0"/>
    <w:rsid w:val="00D240C0"/>
    <w:rsid w:val="00D24115"/>
    <w:rsid w:val="00D241A9"/>
    <w:rsid w:val="00D24732"/>
    <w:rsid w:val="00D25649"/>
    <w:rsid w:val="00D258CB"/>
    <w:rsid w:val="00D25949"/>
    <w:rsid w:val="00D25A14"/>
    <w:rsid w:val="00D25AA1"/>
    <w:rsid w:val="00D25EAC"/>
    <w:rsid w:val="00D26091"/>
    <w:rsid w:val="00D263FB"/>
    <w:rsid w:val="00D2660E"/>
    <w:rsid w:val="00D26968"/>
    <w:rsid w:val="00D26AA1"/>
    <w:rsid w:val="00D27853"/>
    <w:rsid w:val="00D27B5C"/>
    <w:rsid w:val="00D27CEC"/>
    <w:rsid w:val="00D27D06"/>
    <w:rsid w:val="00D27F72"/>
    <w:rsid w:val="00D300BE"/>
    <w:rsid w:val="00D30A76"/>
    <w:rsid w:val="00D30C09"/>
    <w:rsid w:val="00D30D7B"/>
    <w:rsid w:val="00D30EC2"/>
    <w:rsid w:val="00D31336"/>
    <w:rsid w:val="00D319F7"/>
    <w:rsid w:val="00D31C64"/>
    <w:rsid w:val="00D31DF6"/>
    <w:rsid w:val="00D320F5"/>
    <w:rsid w:val="00D3212A"/>
    <w:rsid w:val="00D32367"/>
    <w:rsid w:val="00D327C2"/>
    <w:rsid w:val="00D327FF"/>
    <w:rsid w:val="00D32F85"/>
    <w:rsid w:val="00D330D6"/>
    <w:rsid w:val="00D33132"/>
    <w:rsid w:val="00D33670"/>
    <w:rsid w:val="00D339F7"/>
    <w:rsid w:val="00D33B12"/>
    <w:rsid w:val="00D33CC4"/>
    <w:rsid w:val="00D33E43"/>
    <w:rsid w:val="00D34248"/>
    <w:rsid w:val="00D3473B"/>
    <w:rsid w:val="00D34E3F"/>
    <w:rsid w:val="00D3509C"/>
    <w:rsid w:val="00D35256"/>
    <w:rsid w:val="00D35557"/>
    <w:rsid w:val="00D35722"/>
    <w:rsid w:val="00D35914"/>
    <w:rsid w:val="00D360F7"/>
    <w:rsid w:val="00D36E06"/>
    <w:rsid w:val="00D37073"/>
    <w:rsid w:val="00D3772B"/>
    <w:rsid w:val="00D37CB9"/>
    <w:rsid w:val="00D37E3A"/>
    <w:rsid w:val="00D409EF"/>
    <w:rsid w:val="00D40F4D"/>
    <w:rsid w:val="00D412B0"/>
    <w:rsid w:val="00D41A72"/>
    <w:rsid w:val="00D41DAE"/>
    <w:rsid w:val="00D41EB1"/>
    <w:rsid w:val="00D42454"/>
    <w:rsid w:val="00D42F00"/>
    <w:rsid w:val="00D433FA"/>
    <w:rsid w:val="00D437D8"/>
    <w:rsid w:val="00D43A46"/>
    <w:rsid w:val="00D43DC3"/>
    <w:rsid w:val="00D44054"/>
    <w:rsid w:val="00D44172"/>
    <w:rsid w:val="00D449E7"/>
    <w:rsid w:val="00D45837"/>
    <w:rsid w:val="00D459A3"/>
    <w:rsid w:val="00D46004"/>
    <w:rsid w:val="00D4654D"/>
    <w:rsid w:val="00D467CC"/>
    <w:rsid w:val="00D46BFA"/>
    <w:rsid w:val="00D471DF"/>
    <w:rsid w:val="00D47442"/>
    <w:rsid w:val="00D47628"/>
    <w:rsid w:val="00D47B9C"/>
    <w:rsid w:val="00D47C0B"/>
    <w:rsid w:val="00D47E75"/>
    <w:rsid w:val="00D50513"/>
    <w:rsid w:val="00D50C9E"/>
    <w:rsid w:val="00D50E8B"/>
    <w:rsid w:val="00D5111E"/>
    <w:rsid w:val="00D51226"/>
    <w:rsid w:val="00D51227"/>
    <w:rsid w:val="00D51BE0"/>
    <w:rsid w:val="00D51C37"/>
    <w:rsid w:val="00D51E6A"/>
    <w:rsid w:val="00D51F00"/>
    <w:rsid w:val="00D51F07"/>
    <w:rsid w:val="00D51F50"/>
    <w:rsid w:val="00D5232A"/>
    <w:rsid w:val="00D529B5"/>
    <w:rsid w:val="00D529BB"/>
    <w:rsid w:val="00D529CD"/>
    <w:rsid w:val="00D52D61"/>
    <w:rsid w:val="00D53061"/>
    <w:rsid w:val="00D53344"/>
    <w:rsid w:val="00D53499"/>
    <w:rsid w:val="00D53DAC"/>
    <w:rsid w:val="00D54E52"/>
    <w:rsid w:val="00D5597E"/>
    <w:rsid w:val="00D559A2"/>
    <w:rsid w:val="00D55A1E"/>
    <w:rsid w:val="00D55E0D"/>
    <w:rsid w:val="00D562EC"/>
    <w:rsid w:val="00D5652C"/>
    <w:rsid w:val="00D56FB3"/>
    <w:rsid w:val="00D5739E"/>
    <w:rsid w:val="00D57430"/>
    <w:rsid w:val="00D57940"/>
    <w:rsid w:val="00D57B1D"/>
    <w:rsid w:val="00D57B29"/>
    <w:rsid w:val="00D57BBF"/>
    <w:rsid w:val="00D57C5A"/>
    <w:rsid w:val="00D57E0C"/>
    <w:rsid w:val="00D57EBF"/>
    <w:rsid w:val="00D60084"/>
    <w:rsid w:val="00D60088"/>
    <w:rsid w:val="00D602EC"/>
    <w:rsid w:val="00D605C7"/>
    <w:rsid w:val="00D60950"/>
    <w:rsid w:val="00D60A78"/>
    <w:rsid w:val="00D60CBE"/>
    <w:rsid w:val="00D60EFD"/>
    <w:rsid w:val="00D610C9"/>
    <w:rsid w:val="00D6138E"/>
    <w:rsid w:val="00D618BD"/>
    <w:rsid w:val="00D62063"/>
    <w:rsid w:val="00D62369"/>
    <w:rsid w:val="00D629F2"/>
    <w:rsid w:val="00D62A9C"/>
    <w:rsid w:val="00D63538"/>
    <w:rsid w:val="00D63C27"/>
    <w:rsid w:val="00D64677"/>
    <w:rsid w:val="00D64C08"/>
    <w:rsid w:val="00D64D50"/>
    <w:rsid w:val="00D64D51"/>
    <w:rsid w:val="00D64DFB"/>
    <w:rsid w:val="00D6559E"/>
    <w:rsid w:val="00D65ACE"/>
    <w:rsid w:val="00D66344"/>
    <w:rsid w:val="00D6662F"/>
    <w:rsid w:val="00D6748B"/>
    <w:rsid w:val="00D6748F"/>
    <w:rsid w:val="00D67493"/>
    <w:rsid w:val="00D67650"/>
    <w:rsid w:val="00D7021A"/>
    <w:rsid w:val="00D70256"/>
    <w:rsid w:val="00D705F2"/>
    <w:rsid w:val="00D705FE"/>
    <w:rsid w:val="00D7069E"/>
    <w:rsid w:val="00D7094A"/>
    <w:rsid w:val="00D70A19"/>
    <w:rsid w:val="00D70DE1"/>
    <w:rsid w:val="00D71068"/>
    <w:rsid w:val="00D71404"/>
    <w:rsid w:val="00D71A10"/>
    <w:rsid w:val="00D71D28"/>
    <w:rsid w:val="00D7234C"/>
    <w:rsid w:val="00D726DA"/>
    <w:rsid w:val="00D72B2C"/>
    <w:rsid w:val="00D72CB5"/>
    <w:rsid w:val="00D7337C"/>
    <w:rsid w:val="00D734BD"/>
    <w:rsid w:val="00D7360A"/>
    <w:rsid w:val="00D73C29"/>
    <w:rsid w:val="00D74460"/>
    <w:rsid w:val="00D7494C"/>
    <w:rsid w:val="00D74A62"/>
    <w:rsid w:val="00D74B85"/>
    <w:rsid w:val="00D74BA0"/>
    <w:rsid w:val="00D754EF"/>
    <w:rsid w:val="00D7568A"/>
    <w:rsid w:val="00D75764"/>
    <w:rsid w:val="00D75BF5"/>
    <w:rsid w:val="00D75C07"/>
    <w:rsid w:val="00D7627E"/>
    <w:rsid w:val="00D7654C"/>
    <w:rsid w:val="00D768DA"/>
    <w:rsid w:val="00D769B7"/>
    <w:rsid w:val="00D76E19"/>
    <w:rsid w:val="00D76F58"/>
    <w:rsid w:val="00D7734D"/>
    <w:rsid w:val="00D7796F"/>
    <w:rsid w:val="00D77E1B"/>
    <w:rsid w:val="00D77E85"/>
    <w:rsid w:val="00D80098"/>
    <w:rsid w:val="00D804B9"/>
    <w:rsid w:val="00D80F55"/>
    <w:rsid w:val="00D8126D"/>
    <w:rsid w:val="00D813A3"/>
    <w:rsid w:val="00D815C8"/>
    <w:rsid w:val="00D82442"/>
    <w:rsid w:val="00D8245A"/>
    <w:rsid w:val="00D82567"/>
    <w:rsid w:val="00D82B2D"/>
    <w:rsid w:val="00D82B45"/>
    <w:rsid w:val="00D82D41"/>
    <w:rsid w:val="00D82DB4"/>
    <w:rsid w:val="00D8300D"/>
    <w:rsid w:val="00D83B7A"/>
    <w:rsid w:val="00D83CFA"/>
    <w:rsid w:val="00D83D11"/>
    <w:rsid w:val="00D83E66"/>
    <w:rsid w:val="00D845D6"/>
    <w:rsid w:val="00D84A92"/>
    <w:rsid w:val="00D84E8C"/>
    <w:rsid w:val="00D84EA2"/>
    <w:rsid w:val="00D852C3"/>
    <w:rsid w:val="00D8574A"/>
    <w:rsid w:val="00D85997"/>
    <w:rsid w:val="00D8607E"/>
    <w:rsid w:val="00D860A4"/>
    <w:rsid w:val="00D86729"/>
    <w:rsid w:val="00D867EE"/>
    <w:rsid w:val="00D86A4A"/>
    <w:rsid w:val="00D86B78"/>
    <w:rsid w:val="00D87169"/>
    <w:rsid w:val="00D871B0"/>
    <w:rsid w:val="00D872E6"/>
    <w:rsid w:val="00D874B6"/>
    <w:rsid w:val="00D879DF"/>
    <w:rsid w:val="00D87C0E"/>
    <w:rsid w:val="00D90408"/>
    <w:rsid w:val="00D90CBE"/>
    <w:rsid w:val="00D91344"/>
    <w:rsid w:val="00D91E86"/>
    <w:rsid w:val="00D927A2"/>
    <w:rsid w:val="00D92810"/>
    <w:rsid w:val="00D92C41"/>
    <w:rsid w:val="00D92E37"/>
    <w:rsid w:val="00D933A0"/>
    <w:rsid w:val="00D933F2"/>
    <w:rsid w:val="00D93456"/>
    <w:rsid w:val="00D93625"/>
    <w:rsid w:val="00D938A9"/>
    <w:rsid w:val="00D939DA"/>
    <w:rsid w:val="00D93F0D"/>
    <w:rsid w:val="00D94016"/>
    <w:rsid w:val="00D94465"/>
    <w:rsid w:val="00D9468D"/>
    <w:rsid w:val="00D947FD"/>
    <w:rsid w:val="00D94DD6"/>
    <w:rsid w:val="00D94FD1"/>
    <w:rsid w:val="00D9530F"/>
    <w:rsid w:val="00D95854"/>
    <w:rsid w:val="00D959AA"/>
    <w:rsid w:val="00D95CEF"/>
    <w:rsid w:val="00D96C1B"/>
    <w:rsid w:val="00D97187"/>
    <w:rsid w:val="00D97189"/>
    <w:rsid w:val="00D9745D"/>
    <w:rsid w:val="00D97502"/>
    <w:rsid w:val="00D97681"/>
    <w:rsid w:val="00D97971"/>
    <w:rsid w:val="00D97D9E"/>
    <w:rsid w:val="00DA05C4"/>
    <w:rsid w:val="00DA09B7"/>
    <w:rsid w:val="00DA0CDA"/>
    <w:rsid w:val="00DA1005"/>
    <w:rsid w:val="00DA1593"/>
    <w:rsid w:val="00DA15FB"/>
    <w:rsid w:val="00DA18B9"/>
    <w:rsid w:val="00DA1B09"/>
    <w:rsid w:val="00DA23F5"/>
    <w:rsid w:val="00DA27D9"/>
    <w:rsid w:val="00DA283E"/>
    <w:rsid w:val="00DA28D5"/>
    <w:rsid w:val="00DA2936"/>
    <w:rsid w:val="00DA2E84"/>
    <w:rsid w:val="00DA2EAB"/>
    <w:rsid w:val="00DA3107"/>
    <w:rsid w:val="00DA33BC"/>
    <w:rsid w:val="00DA386D"/>
    <w:rsid w:val="00DA3A43"/>
    <w:rsid w:val="00DA45AF"/>
    <w:rsid w:val="00DA498B"/>
    <w:rsid w:val="00DA4A00"/>
    <w:rsid w:val="00DA5508"/>
    <w:rsid w:val="00DA5854"/>
    <w:rsid w:val="00DA60DB"/>
    <w:rsid w:val="00DA6236"/>
    <w:rsid w:val="00DA6600"/>
    <w:rsid w:val="00DA6D3A"/>
    <w:rsid w:val="00DA6E05"/>
    <w:rsid w:val="00DA7255"/>
    <w:rsid w:val="00DA7467"/>
    <w:rsid w:val="00DA7DE8"/>
    <w:rsid w:val="00DB04AB"/>
    <w:rsid w:val="00DB089E"/>
    <w:rsid w:val="00DB0985"/>
    <w:rsid w:val="00DB14A3"/>
    <w:rsid w:val="00DB15C7"/>
    <w:rsid w:val="00DB1DD1"/>
    <w:rsid w:val="00DB2220"/>
    <w:rsid w:val="00DB2418"/>
    <w:rsid w:val="00DB27A2"/>
    <w:rsid w:val="00DB2996"/>
    <w:rsid w:val="00DB2B79"/>
    <w:rsid w:val="00DB30FB"/>
    <w:rsid w:val="00DB35CD"/>
    <w:rsid w:val="00DB3D9D"/>
    <w:rsid w:val="00DB3F1E"/>
    <w:rsid w:val="00DB413C"/>
    <w:rsid w:val="00DB4142"/>
    <w:rsid w:val="00DB4173"/>
    <w:rsid w:val="00DB46B1"/>
    <w:rsid w:val="00DB489A"/>
    <w:rsid w:val="00DB50A4"/>
    <w:rsid w:val="00DB533E"/>
    <w:rsid w:val="00DB5987"/>
    <w:rsid w:val="00DB6152"/>
    <w:rsid w:val="00DB650C"/>
    <w:rsid w:val="00DB66F7"/>
    <w:rsid w:val="00DB6800"/>
    <w:rsid w:val="00DB6A6C"/>
    <w:rsid w:val="00DB6E89"/>
    <w:rsid w:val="00DB6F8F"/>
    <w:rsid w:val="00DB7434"/>
    <w:rsid w:val="00DB778A"/>
    <w:rsid w:val="00DB7E11"/>
    <w:rsid w:val="00DC0A6E"/>
    <w:rsid w:val="00DC0BEA"/>
    <w:rsid w:val="00DC1149"/>
    <w:rsid w:val="00DC116F"/>
    <w:rsid w:val="00DC140C"/>
    <w:rsid w:val="00DC14AB"/>
    <w:rsid w:val="00DC14D4"/>
    <w:rsid w:val="00DC22EE"/>
    <w:rsid w:val="00DC23BD"/>
    <w:rsid w:val="00DC2E49"/>
    <w:rsid w:val="00DC2E7E"/>
    <w:rsid w:val="00DC3443"/>
    <w:rsid w:val="00DC3534"/>
    <w:rsid w:val="00DC36F0"/>
    <w:rsid w:val="00DC46E1"/>
    <w:rsid w:val="00DC47C1"/>
    <w:rsid w:val="00DC4851"/>
    <w:rsid w:val="00DC4D3F"/>
    <w:rsid w:val="00DC4E2E"/>
    <w:rsid w:val="00DC4EA2"/>
    <w:rsid w:val="00DC5470"/>
    <w:rsid w:val="00DC55C2"/>
    <w:rsid w:val="00DC5644"/>
    <w:rsid w:val="00DC580C"/>
    <w:rsid w:val="00DC5EED"/>
    <w:rsid w:val="00DC5FB8"/>
    <w:rsid w:val="00DC69B1"/>
    <w:rsid w:val="00DC69EF"/>
    <w:rsid w:val="00DC6CF6"/>
    <w:rsid w:val="00DC7251"/>
    <w:rsid w:val="00DC7567"/>
    <w:rsid w:val="00DC7DCF"/>
    <w:rsid w:val="00DD0011"/>
    <w:rsid w:val="00DD00F9"/>
    <w:rsid w:val="00DD029A"/>
    <w:rsid w:val="00DD0DCA"/>
    <w:rsid w:val="00DD10EA"/>
    <w:rsid w:val="00DD1356"/>
    <w:rsid w:val="00DD156A"/>
    <w:rsid w:val="00DD167E"/>
    <w:rsid w:val="00DD16EA"/>
    <w:rsid w:val="00DD1A1E"/>
    <w:rsid w:val="00DD1FA5"/>
    <w:rsid w:val="00DD27FF"/>
    <w:rsid w:val="00DD29E2"/>
    <w:rsid w:val="00DD32D6"/>
    <w:rsid w:val="00DD3872"/>
    <w:rsid w:val="00DD44E2"/>
    <w:rsid w:val="00DD4F19"/>
    <w:rsid w:val="00DD562E"/>
    <w:rsid w:val="00DD5E64"/>
    <w:rsid w:val="00DD6407"/>
    <w:rsid w:val="00DD6773"/>
    <w:rsid w:val="00DD6800"/>
    <w:rsid w:val="00DD786C"/>
    <w:rsid w:val="00DD79B8"/>
    <w:rsid w:val="00DD7A29"/>
    <w:rsid w:val="00DD7C34"/>
    <w:rsid w:val="00DD7C3A"/>
    <w:rsid w:val="00DE00D8"/>
    <w:rsid w:val="00DE019A"/>
    <w:rsid w:val="00DE1195"/>
    <w:rsid w:val="00DE15CA"/>
    <w:rsid w:val="00DE20C4"/>
    <w:rsid w:val="00DE2542"/>
    <w:rsid w:val="00DE27ED"/>
    <w:rsid w:val="00DE282F"/>
    <w:rsid w:val="00DE296A"/>
    <w:rsid w:val="00DE29D4"/>
    <w:rsid w:val="00DE2C2C"/>
    <w:rsid w:val="00DE2D93"/>
    <w:rsid w:val="00DE3026"/>
    <w:rsid w:val="00DE3068"/>
    <w:rsid w:val="00DE330D"/>
    <w:rsid w:val="00DE3B2B"/>
    <w:rsid w:val="00DE3E86"/>
    <w:rsid w:val="00DE3F18"/>
    <w:rsid w:val="00DE40DD"/>
    <w:rsid w:val="00DE48B6"/>
    <w:rsid w:val="00DE588E"/>
    <w:rsid w:val="00DE686B"/>
    <w:rsid w:val="00DE6B45"/>
    <w:rsid w:val="00DE73B8"/>
    <w:rsid w:val="00DE7C59"/>
    <w:rsid w:val="00DE7D7F"/>
    <w:rsid w:val="00DF0163"/>
    <w:rsid w:val="00DF043F"/>
    <w:rsid w:val="00DF0A2C"/>
    <w:rsid w:val="00DF0A30"/>
    <w:rsid w:val="00DF0E83"/>
    <w:rsid w:val="00DF0E89"/>
    <w:rsid w:val="00DF1389"/>
    <w:rsid w:val="00DF13B4"/>
    <w:rsid w:val="00DF1522"/>
    <w:rsid w:val="00DF1635"/>
    <w:rsid w:val="00DF1F45"/>
    <w:rsid w:val="00DF24E4"/>
    <w:rsid w:val="00DF2FA0"/>
    <w:rsid w:val="00DF340A"/>
    <w:rsid w:val="00DF3ECD"/>
    <w:rsid w:val="00DF4112"/>
    <w:rsid w:val="00DF5630"/>
    <w:rsid w:val="00DF5837"/>
    <w:rsid w:val="00DF5C55"/>
    <w:rsid w:val="00DF6BB7"/>
    <w:rsid w:val="00DF6F01"/>
    <w:rsid w:val="00DF736D"/>
    <w:rsid w:val="00DF775A"/>
    <w:rsid w:val="00DF7C3B"/>
    <w:rsid w:val="00DF7F6A"/>
    <w:rsid w:val="00E0023C"/>
    <w:rsid w:val="00E00373"/>
    <w:rsid w:val="00E009E8"/>
    <w:rsid w:val="00E00CF1"/>
    <w:rsid w:val="00E00D4A"/>
    <w:rsid w:val="00E00E4A"/>
    <w:rsid w:val="00E00F52"/>
    <w:rsid w:val="00E01599"/>
    <w:rsid w:val="00E015DC"/>
    <w:rsid w:val="00E016B4"/>
    <w:rsid w:val="00E01CFF"/>
    <w:rsid w:val="00E02961"/>
    <w:rsid w:val="00E02A89"/>
    <w:rsid w:val="00E02A8A"/>
    <w:rsid w:val="00E02C79"/>
    <w:rsid w:val="00E02F5A"/>
    <w:rsid w:val="00E03958"/>
    <w:rsid w:val="00E03E22"/>
    <w:rsid w:val="00E03E81"/>
    <w:rsid w:val="00E0438D"/>
    <w:rsid w:val="00E0456C"/>
    <w:rsid w:val="00E0486F"/>
    <w:rsid w:val="00E04F60"/>
    <w:rsid w:val="00E05605"/>
    <w:rsid w:val="00E0563D"/>
    <w:rsid w:val="00E05ACA"/>
    <w:rsid w:val="00E05B77"/>
    <w:rsid w:val="00E05CC4"/>
    <w:rsid w:val="00E06896"/>
    <w:rsid w:val="00E06F02"/>
    <w:rsid w:val="00E07378"/>
    <w:rsid w:val="00E078E7"/>
    <w:rsid w:val="00E07CA0"/>
    <w:rsid w:val="00E07DCF"/>
    <w:rsid w:val="00E11391"/>
    <w:rsid w:val="00E1171D"/>
    <w:rsid w:val="00E11999"/>
    <w:rsid w:val="00E119C6"/>
    <w:rsid w:val="00E11C43"/>
    <w:rsid w:val="00E11D81"/>
    <w:rsid w:val="00E11E75"/>
    <w:rsid w:val="00E124E3"/>
    <w:rsid w:val="00E12682"/>
    <w:rsid w:val="00E12699"/>
    <w:rsid w:val="00E126BB"/>
    <w:rsid w:val="00E12F55"/>
    <w:rsid w:val="00E12F84"/>
    <w:rsid w:val="00E1304F"/>
    <w:rsid w:val="00E1326A"/>
    <w:rsid w:val="00E13AA6"/>
    <w:rsid w:val="00E13B87"/>
    <w:rsid w:val="00E13E9F"/>
    <w:rsid w:val="00E14040"/>
    <w:rsid w:val="00E140CC"/>
    <w:rsid w:val="00E1452E"/>
    <w:rsid w:val="00E145F2"/>
    <w:rsid w:val="00E14910"/>
    <w:rsid w:val="00E14F12"/>
    <w:rsid w:val="00E15675"/>
    <w:rsid w:val="00E15BD5"/>
    <w:rsid w:val="00E16337"/>
    <w:rsid w:val="00E16646"/>
    <w:rsid w:val="00E16B8D"/>
    <w:rsid w:val="00E17A44"/>
    <w:rsid w:val="00E17E5F"/>
    <w:rsid w:val="00E20237"/>
    <w:rsid w:val="00E202BB"/>
    <w:rsid w:val="00E202D5"/>
    <w:rsid w:val="00E20418"/>
    <w:rsid w:val="00E20452"/>
    <w:rsid w:val="00E2063E"/>
    <w:rsid w:val="00E20BF7"/>
    <w:rsid w:val="00E21446"/>
    <w:rsid w:val="00E21C45"/>
    <w:rsid w:val="00E21D39"/>
    <w:rsid w:val="00E225C8"/>
    <w:rsid w:val="00E226DA"/>
    <w:rsid w:val="00E22B16"/>
    <w:rsid w:val="00E236A5"/>
    <w:rsid w:val="00E23955"/>
    <w:rsid w:val="00E23E3D"/>
    <w:rsid w:val="00E23F25"/>
    <w:rsid w:val="00E2470D"/>
    <w:rsid w:val="00E25064"/>
    <w:rsid w:val="00E2512B"/>
    <w:rsid w:val="00E2553D"/>
    <w:rsid w:val="00E25B19"/>
    <w:rsid w:val="00E25B98"/>
    <w:rsid w:val="00E268EE"/>
    <w:rsid w:val="00E277D9"/>
    <w:rsid w:val="00E27C17"/>
    <w:rsid w:val="00E300FF"/>
    <w:rsid w:val="00E309E2"/>
    <w:rsid w:val="00E320A5"/>
    <w:rsid w:val="00E3219B"/>
    <w:rsid w:val="00E32672"/>
    <w:rsid w:val="00E32728"/>
    <w:rsid w:val="00E32B77"/>
    <w:rsid w:val="00E32CBD"/>
    <w:rsid w:val="00E33077"/>
    <w:rsid w:val="00E33AD5"/>
    <w:rsid w:val="00E33C49"/>
    <w:rsid w:val="00E33E51"/>
    <w:rsid w:val="00E3422D"/>
    <w:rsid w:val="00E3428F"/>
    <w:rsid w:val="00E344B6"/>
    <w:rsid w:val="00E34636"/>
    <w:rsid w:val="00E348A7"/>
    <w:rsid w:val="00E34B48"/>
    <w:rsid w:val="00E34D88"/>
    <w:rsid w:val="00E3557E"/>
    <w:rsid w:val="00E35CF4"/>
    <w:rsid w:val="00E35EA9"/>
    <w:rsid w:val="00E3665B"/>
    <w:rsid w:val="00E36884"/>
    <w:rsid w:val="00E37F3E"/>
    <w:rsid w:val="00E37FC9"/>
    <w:rsid w:val="00E40CA7"/>
    <w:rsid w:val="00E40D46"/>
    <w:rsid w:val="00E40E2D"/>
    <w:rsid w:val="00E40E3C"/>
    <w:rsid w:val="00E4105C"/>
    <w:rsid w:val="00E41244"/>
    <w:rsid w:val="00E4181C"/>
    <w:rsid w:val="00E42059"/>
    <w:rsid w:val="00E4205C"/>
    <w:rsid w:val="00E42DFB"/>
    <w:rsid w:val="00E42E25"/>
    <w:rsid w:val="00E431BF"/>
    <w:rsid w:val="00E434C6"/>
    <w:rsid w:val="00E43743"/>
    <w:rsid w:val="00E43837"/>
    <w:rsid w:val="00E43BC2"/>
    <w:rsid w:val="00E43D8E"/>
    <w:rsid w:val="00E44284"/>
    <w:rsid w:val="00E444C8"/>
    <w:rsid w:val="00E44B87"/>
    <w:rsid w:val="00E44C60"/>
    <w:rsid w:val="00E44D0D"/>
    <w:rsid w:val="00E44EAA"/>
    <w:rsid w:val="00E450DF"/>
    <w:rsid w:val="00E45305"/>
    <w:rsid w:val="00E4557E"/>
    <w:rsid w:val="00E455F1"/>
    <w:rsid w:val="00E459CF"/>
    <w:rsid w:val="00E45C26"/>
    <w:rsid w:val="00E45DBA"/>
    <w:rsid w:val="00E462DB"/>
    <w:rsid w:val="00E4636B"/>
    <w:rsid w:val="00E467C2"/>
    <w:rsid w:val="00E46839"/>
    <w:rsid w:val="00E46985"/>
    <w:rsid w:val="00E469D7"/>
    <w:rsid w:val="00E46B04"/>
    <w:rsid w:val="00E46C2E"/>
    <w:rsid w:val="00E46F59"/>
    <w:rsid w:val="00E474F6"/>
    <w:rsid w:val="00E47674"/>
    <w:rsid w:val="00E47B9F"/>
    <w:rsid w:val="00E47D42"/>
    <w:rsid w:val="00E47DA7"/>
    <w:rsid w:val="00E47E33"/>
    <w:rsid w:val="00E502A2"/>
    <w:rsid w:val="00E50990"/>
    <w:rsid w:val="00E50BF1"/>
    <w:rsid w:val="00E50BFF"/>
    <w:rsid w:val="00E50E81"/>
    <w:rsid w:val="00E512E9"/>
    <w:rsid w:val="00E5157B"/>
    <w:rsid w:val="00E51F04"/>
    <w:rsid w:val="00E52AD1"/>
    <w:rsid w:val="00E52DFD"/>
    <w:rsid w:val="00E53031"/>
    <w:rsid w:val="00E53763"/>
    <w:rsid w:val="00E537C5"/>
    <w:rsid w:val="00E53CB4"/>
    <w:rsid w:val="00E53D2D"/>
    <w:rsid w:val="00E53FF8"/>
    <w:rsid w:val="00E546A3"/>
    <w:rsid w:val="00E54807"/>
    <w:rsid w:val="00E548F2"/>
    <w:rsid w:val="00E54951"/>
    <w:rsid w:val="00E549CB"/>
    <w:rsid w:val="00E54EC8"/>
    <w:rsid w:val="00E5563B"/>
    <w:rsid w:val="00E55905"/>
    <w:rsid w:val="00E561D5"/>
    <w:rsid w:val="00E562F9"/>
    <w:rsid w:val="00E56A96"/>
    <w:rsid w:val="00E57324"/>
    <w:rsid w:val="00E573DE"/>
    <w:rsid w:val="00E575FD"/>
    <w:rsid w:val="00E57AA0"/>
    <w:rsid w:val="00E57B18"/>
    <w:rsid w:val="00E57C32"/>
    <w:rsid w:val="00E57F48"/>
    <w:rsid w:val="00E60726"/>
    <w:rsid w:val="00E6108C"/>
    <w:rsid w:val="00E61300"/>
    <w:rsid w:val="00E61443"/>
    <w:rsid w:val="00E614D4"/>
    <w:rsid w:val="00E614F8"/>
    <w:rsid w:val="00E61682"/>
    <w:rsid w:val="00E61697"/>
    <w:rsid w:val="00E6174B"/>
    <w:rsid w:val="00E61BD1"/>
    <w:rsid w:val="00E61DF4"/>
    <w:rsid w:val="00E62287"/>
    <w:rsid w:val="00E62422"/>
    <w:rsid w:val="00E625A0"/>
    <w:rsid w:val="00E625A3"/>
    <w:rsid w:val="00E62CF1"/>
    <w:rsid w:val="00E6314A"/>
    <w:rsid w:val="00E63F57"/>
    <w:rsid w:val="00E64164"/>
    <w:rsid w:val="00E642D0"/>
    <w:rsid w:val="00E64359"/>
    <w:rsid w:val="00E645D5"/>
    <w:rsid w:val="00E64686"/>
    <w:rsid w:val="00E64897"/>
    <w:rsid w:val="00E649EF"/>
    <w:rsid w:val="00E64F2C"/>
    <w:rsid w:val="00E64FFB"/>
    <w:rsid w:val="00E65883"/>
    <w:rsid w:val="00E66026"/>
    <w:rsid w:val="00E6606D"/>
    <w:rsid w:val="00E6609B"/>
    <w:rsid w:val="00E66346"/>
    <w:rsid w:val="00E6661C"/>
    <w:rsid w:val="00E66BB0"/>
    <w:rsid w:val="00E66D06"/>
    <w:rsid w:val="00E672C2"/>
    <w:rsid w:val="00E67493"/>
    <w:rsid w:val="00E675D8"/>
    <w:rsid w:val="00E67744"/>
    <w:rsid w:val="00E6793D"/>
    <w:rsid w:val="00E67AEA"/>
    <w:rsid w:val="00E67BB4"/>
    <w:rsid w:val="00E67C8F"/>
    <w:rsid w:val="00E67F04"/>
    <w:rsid w:val="00E700E2"/>
    <w:rsid w:val="00E700F1"/>
    <w:rsid w:val="00E70299"/>
    <w:rsid w:val="00E7029A"/>
    <w:rsid w:val="00E70859"/>
    <w:rsid w:val="00E70F8D"/>
    <w:rsid w:val="00E71318"/>
    <w:rsid w:val="00E71492"/>
    <w:rsid w:val="00E7187A"/>
    <w:rsid w:val="00E7192F"/>
    <w:rsid w:val="00E72661"/>
    <w:rsid w:val="00E7266A"/>
    <w:rsid w:val="00E729CF"/>
    <w:rsid w:val="00E72A77"/>
    <w:rsid w:val="00E72A7D"/>
    <w:rsid w:val="00E732C1"/>
    <w:rsid w:val="00E73A15"/>
    <w:rsid w:val="00E73DB9"/>
    <w:rsid w:val="00E745A1"/>
    <w:rsid w:val="00E748BE"/>
    <w:rsid w:val="00E7515F"/>
    <w:rsid w:val="00E75714"/>
    <w:rsid w:val="00E75B42"/>
    <w:rsid w:val="00E75F58"/>
    <w:rsid w:val="00E760BF"/>
    <w:rsid w:val="00E76260"/>
    <w:rsid w:val="00E765D6"/>
    <w:rsid w:val="00E7708A"/>
    <w:rsid w:val="00E80068"/>
    <w:rsid w:val="00E80176"/>
    <w:rsid w:val="00E80258"/>
    <w:rsid w:val="00E80ED6"/>
    <w:rsid w:val="00E8114D"/>
    <w:rsid w:val="00E814B8"/>
    <w:rsid w:val="00E81A70"/>
    <w:rsid w:val="00E82006"/>
    <w:rsid w:val="00E820F4"/>
    <w:rsid w:val="00E821A4"/>
    <w:rsid w:val="00E82459"/>
    <w:rsid w:val="00E826BB"/>
    <w:rsid w:val="00E82B37"/>
    <w:rsid w:val="00E82B97"/>
    <w:rsid w:val="00E82E4A"/>
    <w:rsid w:val="00E83085"/>
    <w:rsid w:val="00E8326C"/>
    <w:rsid w:val="00E837C3"/>
    <w:rsid w:val="00E8428D"/>
    <w:rsid w:val="00E842F1"/>
    <w:rsid w:val="00E84413"/>
    <w:rsid w:val="00E84428"/>
    <w:rsid w:val="00E846C6"/>
    <w:rsid w:val="00E848FB"/>
    <w:rsid w:val="00E84A48"/>
    <w:rsid w:val="00E84BF1"/>
    <w:rsid w:val="00E8503A"/>
    <w:rsid w:val="00E8505F"/>
    <w:rsid w:val="00E85344"/>
    <w:rsid w:val="00E8562B"/>
    <w:rsid w:val="00E858EB"/>
    <w:rsid w:val="00E8594E"/>
    <w:rsid w:val="00E85C2D"/>
    <w:rsid w:val="00E85D83"/>
    <w:rsid w:val="00E864CE"/>
    <w:rsid w:val="00E86505"/>
    <w:rsid w:val="00E86BBF"/>
    <w:rsid w:val="00E86C21"/>
    <w:rsid w:val="00E86DEC"/>
    <w:rsid w:val="00E87142"/>
    <w:rsid w:val="00E8E282"/>
    <w:rsid w:val="00E90207"/>
    <w:rsid w:val="00E908B2"/>
    <w:rsid w:val="00E90E07"/>
    <w:rsid w:val="00E912AF"/>
    <w:rsid w:val="00E913B7"/>
    <w:rsid w:val="00E9160B"/>
    <w:rsid w:val="00E91835"/>
    <w:rsid w:val="00E919F2"/>
    <w:rsid w:val="00E91A09"/>
    <w:rsid w:val="00E920E5"/>
    <w:rsid w:val="00E92B18"/>
    <w:rsid w:val="00E92CC0"/>
    <w:rsid w:val="00E9335D"/>
    <w:rsid w:val="00E9385D"/>
    <w:rsid w:val="00E93CA9"/>
    <w:rsid w:val="00E94563"/>
    <w:rsid w:val="00E94A38"/>
    <w:rsid w:val="00E94DAF"/>
    <w:rsid w:val="00E95DE4"/>
    <w:rsid w:val="00E9609A"/>
    <w:rsid w:val="00E96355"/>
    <w:rsid w:val="00E965B1"/>
    <w:rsid w:val="00E9683F"/>
    <w:rsid w:val="00E96A74"/>
    <w:rsid w:val="00E96E8C"/>
    <w:rsid w:val="00E9710C"/>
    <w:rsid w:val="00E97216"/>
    <w:rsid w:val="00E977E9"/>
    <w:rsid w:val="00E97935"/>
    <w:rsid w:val="00E97BF5"/>
    <w:rsid w:val="00E97E37"/>
    <w:rsid w:val="00EA09E6"/>
    <w:rsid w:val="00EA0EB1"/>
    <w:rsid w:val="00EA13C4"/>
    <w:rsid w:val="00EA14DC"/>
    <w:rsid w:val="00EA1944"/>
    <w:rsid w:val="00EA1B42"/>
    <w:rsid w:val="00EA1D6E"/>
    <w:rsid w:val="00EA217C"/>
    <w:rsid w:val="00EA2347"/>
    <w:rsid w:val="00EA2F59"/>
    <w:rsid w:val="00EA3322"/>
    <w:rsid w:val="00EA336C"/>
    <w:rsid w:val="00EA44FB"/>
    <w:rsid w:val="00EA492E"/>
    <w:rsid w:val="00EA4A05"/>
    <w:rsid w:val="00EA4ED2"/>
    <w:rsid w:val="00EA4F05"/>
    <w:rsid w:val="00EA4F4D"/>
    <w:rsid w:val="00EA53E9"/>
    <w:rsid w:val="00EA567C"/>
    <w:rsid w:val="00EA57BC"/>
    <w:rsid w:val="00EA5B6C"/>
    <w:rsid w:val="00EA5BEF"/>
    <w:rsid w:val="00EA5CBA"/>
    <w:rsid w:val="00EA5EE1"/>
    <w:rsid w:val="00EA6899"/>
    <w:rsid w:val="00EA6AAC"/>
    <w:rsid w:val="00EA6CCE"/>
    <w:rsid w:val="00EA6F4A"/>
    <w:rsid w:val="00EA7AB6"/>
    <w:rsid w:val="00EA7FF2"/>
    <w:rsid w:val="00EB07FB"/>
    <w:rsid w:val="00EB09CD"/>
    <w:rsid w:val="00EB11F6"/>
    <w:rsid w:val="00EB1B14"/>
    <w:rsid w:val="00EB1D68"/>
    <w:rsid w:val="00EB1D93"/>
    <w:rsid w:val="00EB200E"/>
    <w:rsid w:val="00EB21B9"/>
    <w:rsid w:val="00EB2232"/>
    <w:rsid w:val="00EB28DB"/>
    <w:rsid w:val="00EB34AB"/>
    <w:rsid w:val="00EB3F4D"/>
    <w:rsid w:val="00EB4130"/>
    <w:rsid w:val="00EB44C6"/>
    <w:rsid w:val="00EB453B"/>
    <w:rsid w:val="00EB4B0C"/>
    <w:rsid w:val="00EB4EDE"/>
    <w:rsid w:val="00EB4FDF"/>
    <w:rsid w:val="00EB59D5"/>
    <w:rsid w:val="00EB616E"/>
    <w:rsid w:val="00EB657C"/>
    <w:rsid w:val="00EB673A"/>
    <w:rsid w:val="00EB683F"/>
    <w:rsid w:val="00EB6921"/>
    <w:rsid w:val="00EB6A83"/>
    <w:rsid w:val="00EB6C73"/>
    <w:rsid w:val="00EB720B"/>
    <w:rsid w:val="00EB7597"/>
    <w:rsid w:val="00EB76C7"/>
    <w:rsid w:val="00EB7729"/>
    <w:rsid w:val="00EB772E"/>
    <w:rsid w:val="00EB7B09"/>
    <w:rsid w:val="00EB7E36"/>
    <w:rsid w:val="00EB7F52"/>
    <w:rsid w:val="00EC0918"/>
    <w:rsid w:val="00EC0FED"/>
    <w:rsid w:val="00EC139C"/>
    <w:rsid w:val="00EC1539"/>
    <w:rsid w:val="00EC15C9"/>
    <w:rsid w:val="00EC2077"/>
    <w:rsid w:val="00EC217F"/>
    <w:rsid w:val="00EC2794"/>
    <w:rsid w:val="00EC27FC"/>
    <w:rsid w:val="00EC2DA2"/>
    <w:rsid w:val="00EC328A"/>
    <w:rsid w:val="00EC35A6"/>
    <w:rsid w:val="00EC35B6"/>
    <w:rsid w:val="00EC3EF1"/>
    <w:rsid w:val="00EC41DD"/>
    <w:rsid w:val="00EC4A29"/>
    <w:rsid w:val="00EC5803"/>
    <w:rsid w:val="00EC5C73"/>
    <w:rsid w:val="00EC5E9D"/>
    <w:rsid w:val="00EC6080"/>
    <w:rsid w:val="00EC6163"/>
    <w:rsid w:val="00EC6255"/>
    <w:rsid w:val="00EC6DD7"/>
    <w:rsid w:val="00EC6E5F"/>
    <w:rsid w:val="00EC6FCD"/>
    <w:rsid w:val="00EC7059"/>
    <w:rsid w:val="00EC7338"/>
    <w:rsid w:val="00EC7999"/>
    <w:rsid w:val="00EC7B22"/>
    <w:rsid w:val="00EC7B53"/>
    <w:rsid w:val="00ED018A"/>
    <w:rsid w:val="00ED02B9"/>
    <w:rsid w:val="00ED05A0"/>
    <w:rsid w:val="00ED060F"/>
    <w:rsid w:val="00ED064C"/>
    <w:rsid w:val="00ED1248"/>
    <w:rsid w:val="00ED1A01"/>
    <w:rsid w:val="00ED1CC2"/>
    <w:rsid w:val="00ED1D21"/>
    <w:rsid w:val="00ED2589"/>
    <w:rsid w:val="00ED27D7"/>
    <w:rsid w:val="00ED290A"/>
    <w:rsid w:val="00ED337D"/>
    <w:rsid w:val="00ED345E"/>
    <w:rsid w:val="00ED3C47"/>
    <w:rsid w:val="00ED3E8A"/>
    <w:rsid w:val="00ED4788"/>
    <w:rsid w:val="00ED5385"/>
    <w:rsid w:val="00ED55D0"/>
    <w:rsid w:val="00ED5F39"/>
    <w:rsid w:val="00ED640C"/>
    <w:rsid w:val="00ED67E8"/>
    <w:rsid w:val="00ED68D5"/>
    <w:rsid w:val="00ED6A27"/>
    <w:rsid w:val="00ED6C72"/>
    <w:rsid w:val="00ED7171"/>
    <w:rsid w:val="00ED72D4"/>
    <w:rsid w:val="00ED7F4B"/>
    <w:rsid w:val="00EE039E"/>
    <w:rsid w:val="00EE03FC"/>
    <w:rsid w:val="00EE0593"/>
    <w:rsid w:val="00EE0787"/>
    <w:rsid w:val="00EE103A"/>
    <w:rsid w:val="00EE14DC"/>
    <w:rsid w:val="00EE15DE"/>
    <w:rsid w:val="00EE19E4"/>
    <w:rsid w:val="00EE1B3C"/>
    <w:rsid w:val="00EE1BE9"/>
    <w:rsid w:val="00EE292E"/>
    <w:rsid w:val="00EE2EE3"/>
    <w:rsid w:val="00EE3417"/>
    <w:rsid w:val="00EE3E44"/>
    <w:rsid w:val="00EE4023"/>
    <w:rsid w:val="00EE428A"/>
    <w:rsid w:val="00EE4889"/>
    <w:rsid w:val="00EE4AFB"/>
    <w:rsid w:val="00EE4C63"/>
    <w:rsid w:val="00EE504D"/>
    <w:rsid w:val="00EE5090"/>
    <w:rsid w:val="00EE516D"/>
    <w:rsid w:val="00EE5222"/>
    <w:rsid w:val="00EE5531"/>
    <w:rsid w:val="00EE5964"/>
    <w:rsid w:val="00EE5D54"/>
    <w:rsid w:val="00EE61FA"/>
    <w:rsid w:val="00EE6977"/>
    <w:rsid w:val="00EE6AAE"/>
    <w:rsid w:val="00EE6B4A"/>
    <w:rsid w:val="00EE7453"/>
    <w:rsid w:val="00EE79D6"/>
    <w:rsid w:val="00EE7A59"/>
    <w:rsid w:val="00EE7AF4"/>
    <w:rsid w:val="00EE7FD7"/>
    <w:rsid w:val="00EF0446"/>
    <w:rsid w:val="00EF065D"/>
    <w:rsid w:val="00EF0891"/>
    <w:rsid w:val="00EF0A88"/>
    <w:rsid w:val="00EF0ABF"/>
    <w:rsid w:val="00EF0F2E"/>
    <w:rsid w:val="00EF102A"/>
    <w:rsid w:val="00EF12AE"/>
    <w:rsid w:val="00EF1AC5"/>
    <w:rsid w:val="00EF2040"/>
    <w:rsid w:val="00EF25F4"/>
    <w:rsid w:val="00EF2605"/>
    <w:rsid w:val="00EF2B84"/>
    <w:rsid w:val="00EF2DA3"/>
    <w:rsid w:val="00EF354B"/>
    <w:rsid w:val="00EF45B6"/>
    <w:rsid w:val="00EF45EE"/>
    <w:rsid w:val="00EF4DAC"/>
    <w:rsid w:val="00EF4E69"/>
    <w:rsid w:val="00EF4ED7"/>
    <w:rsid w:val="00EF5133"/>
    <w:rsid w:val="00EF5225"/>
    <w:rsid w:val="00EF5490"/>
    <w:rsid w:val="00EF54EC"/>
    <w:rsid w:val="00EF54FE"/>
    <w:rsid w:val="00EF5662"/>
    <w:rsid w:val="00EF5D13"/>
    <w:rsid w:val="00EF68D8"/>
    <w:rsid w:val="00EF6F54"/>
    <w:rsid w:val="00F000CD"/>
    <w:rsid w:val="00F00500"/>
    <w:rsid w:val="00F0133F"/>
    <w:rsid w:val="00F0159F"/>
    <w:rsid w:val="00F0161C"/>
    <w:rsid w:val="00F016E5"/>
    <w:rsid w:val="00F018B3"/>
    <w:rsid w:val="00F01913"/>
    <w:rsid w:val="00F01BA6"/>
    <w:rsid w:val="00F02E4B"/>
    <w:rsid w:val="00F03B0B"/>
    <w:rsid w:val="00F03C69"/>
    <w:rsid w:val="00F05223"/>
    <w:rsid w:val="00F05829"/>
    <w:rsid w:val="00F05D59"/>
    <w:rsid w:val="00F061DA"/>
    <w:rsid w:val="00F06377"/>
    <w:rsid w:val="00F06460"/>
    <w:rsid w:val="00F067B7"/>
    <w:rsid w:val="00F069AC"/>
    <w:rsid w:val="00F06ADE"/>
    <w:rsid w:val="00F06B6D"/>
    <w:rsid w:val="00F075A6"/>
    <w:rsid w:val="00F07713"/>
    <w:rsid w:val="00F07981"/>
    <w:rsid w:val="00F10427"/>
    <w:rsid w:val="00F10DC2"/>
    <w:rsid w:val="00F11036"/>
    <w:rsid w:val="00F11236"/>
    <w:rsid w:val="00F11321"/>
    <w:rsid w:val="00F115B7"/>
    <w:rsid w:val="00F116C0"/>
    <w:rsid w:val="00F1177C"/>
    <w:rsid w:val="00F11939"/>
    <w:rsid w:val="00F11A39"/>
    <w:rsid w:val="00F11C56"/>
    <w:rsid w:val="00F1201A"/>
    <w:rsid w:val="00F120F2"/>
    <w:rsid w:val="00F122ED"/>
    <w:rsid w:val="00F12E52"/>
    <w:rsid w:val="00F12F0A"/>
    <w:rsid w:val="00F139F7"/>
    <w:rsid w:val="00F13C55"/>
    <w:rsid w:val="00F13CC4"/>
    <w:rsid w:val="00F14032"/>
    <w:rsid w:val="00F142F8"/>
    <w:rsid w:val="00F143B9"/>
    <w:rsid w:val="00F1465A"/>
    <w:rsid w:val="00F14E76"/>
    <w:rsid w:val="00F15CC2"/>
    <w:rsid w:val="00F16226"/>
    <w:rsid w:val="00F164A8"/>
    <w:rsid w:val="00F16CF4"/>
    <w:rsid w:val="00F16E98"/>
    <w:rsid w:val="00F172C0"/>
    <w:rsid w:val="00F173D9"/>
    <w:rsid w:val="00F174BF"/>
    <w:rsid w:val="00F17675"/>
    <w:rsid w:val="00F17723"/>
    <w:rsid w:val="00F17EB0"/>
    <w:rsid w:val="00F2087E"/>
    <w:rsid w:val="00F20ACB"/>
    <w:rsid w:val="00F21263"/>
    <w:rsid w:val="00F2132C"/>
    <w:rsid w:val="00F2159A"/>
    <w:rsid w:val="00F21610"/>
    <w:rsid w:val="00F218D2"/>
    <w:rsid w:val="00F21A34"/>
    <w:rsid w:val="00F2237E"/>
    <w:rsid w:val="00F22593"/>
    <w:rsid w:val="00F2323F"/>
    <w:rsid w:val="00F23375"/>
    <w:rsid w:val="00F23AF6"/>
    <w:rsid w:val="00F2403B"/>
    <w:rsid w:val="00F24083"/>
    <w:rsid w:val="00F24FA3"/>
    <w:rsid w:val="00F25A7A"/>
    <w:rsid w:val="00F26D72"/>
    <w:rsid w:val="00F26DBF"/>
    <w:rsid w:val="00F272BC"/>
    <w:rsid w:val="00F27DCE"/>
    <w:rsid w:val="00F30281"/>
    <w:rsid w:val="00F305C1"/>
    <w:rsid w:val="00F30797"/>
    <w:rsid w:val="00F30C97"/>
    <w:rsid w:val="00F30DD1"/>
    <w:rsid w:val="00F310FC"/>
    <w:rsid w:val="00F31ACE"/>
    <w:rsid w:val="00F31ED5"/>
    <w:rsid w:val="00F31EED"/>
    <w:rsid w:val="00F32636"/>
    <w:rsid w:val="00F3269D"/>
    <w:rsid w:val="00F32D1B"/>
    <w:rsid w:val="00F335AF"/>
    <w:rsid w:val="00F33C08"/>
    <w:rsid w:val="00F33FCE"/>
    <w:rsid w:val="00F34216"/>
    <w:rsid w:val="00F34836"/>
    <w:rsid w:val="00F34994"/>
    <w:rsid w:val="00F34A55"/>
    <w:rsid w:val="00F353B3"/>
    <w:rsid w:val="00F357E5"/>
    <w:rsid w:val="00F35AE5"/>
    <w:rsid w:val="00F363B5"/>
    <w:rsid w:val="00F36687"/>
    <w:rsid w:val="00F367A9"/>
    <w:rsid w:val="00F36A4B"/>
    <w:rsid w:val="00F36F9B"/>
    <w:rsid w:val="00F377C5"/>
    <w:rsid w:val="00F377DF"/>
    <w:rsid w:val="00F37B83"/>
    <w:rsid w:val="00F37FBA"/>
    <w:rsid w:val="00F4032F"/>
    <w:rsid w:val="00F40894"/>
    <w:rsid w:val="00F41424"/>
    <w:rsid w:val="00F41622"/>
    <w:rsid w:val="00F41706"/>
    <w:rsid w:val="00F41A3E"/>
    <w:rsid w:val="00F41CFB"/>
    <w:rsid w:val="00F41EF3"/>
    <w:rsid w:val="00F42277"/>
    <w:rsid w:val="00F42C0B"/>
    <w:rsid w:val="00F42E74"/>
    <w:rsid w:val="00F43256"/>
    <w:rsid w:val="00F43416"/>
    <w:rsid w:val="00F4450A"/>
    <w:rsid w:val="00F445EE"/>
    <w:rsid w:val="00F449C4"/>
    <w:rsid w:val="00F44A3D"/>
    <w:rsid w:val="00F44B77"/>
    <w:rsid w:val="00F44DFA"/>
    <w:rsid w:val="00F44F0F"/>
    <w:rsid w:val="00F45084"/>
    <w:rsid w:val="00F4515B"/>
    <w:rsid w:val="00F45260"/>
    <w:rsid w:val="00F45519"/>
    <w:rsid w:val="00F45680"/>
    <w:rsid w:val="00F459AB"/>
    <w:rsid w:val="00F459E7"/>
    <w:rsid w:val="00F45C76"/>
    <w:rsid w:val="00F46698"/>
    <w:rsid w:val="00F46F88"/>
    <w:rsid w:val="00F471DA"/>
    <w:rsid w:val="00F4732E"/>
    <w:rsid w:val="00F4744B"/>
    <w:rsid w:val="00F4768D"/>
    <w:rsid w:val="00F4777E"/>
    <w:rsid w:val="00F4785E"/>
    <w:rsid w:val="00F47DA1"/>
    <w:rsid w:val="00F47E46"/>
    <w:rsid w:val="00F500EE"/>
    <w:rsid w:val="00F501D1"/>
    <w:rsid w:val="00F507B9"/>
    <w:rsid w:val="00F509FD"/>
    <w:rsid w:val="00F50DA8"/>
    <w:rsid w:val="00F52F3E"/>
    <w:rsid w:val="00F532F9"/>
    <w:rsid w:val="00F533CD"/>
    <w:rsid w:val="00F534B8"/>
    <w:rsid w:val="00F53598"/>
    <w:rsid w:val="00F53AC6"/>
    <w:rsid w:val="00F53ACB"/>
    <w:rsid w:val="00F53E67"/>
    <w:rsid w:val="00F53EF9"/>
    <w:rsid w:val="00F5412A"/>
    <w:rsid w:val="00F544BB"/>
    <w:rsid w:val="00F549E1"/>
    <w:rsid w:val="00F54F38"/>
    <w:rsid w:val="00F54FC9"/>
    <w:rsid w:val="00F55AE9"/>
    <w:rsid w:val="00F560C7"/>
    <w:rsid w:val="00F56733"/>
    <w:rsid w:val="00F5675B"/>
    <w:rsid w:val="00F57161"/>
    <w:rsid w:val="00F577C3"/>
    <w:rsid w:val="00F57BFC"/>
    <w:rsid w:val="00F57C02"/>
    <w:rsid w:val="00F57D82"/>
    <w:rsid w:val="00F6024E"/>
    <w:rsid w:val="00F602AC"/>
    <w:rsid w:val="00F603E8"/>
    <w:rsid w:val="00F604F3"/>
    <w:rsid w:val="00F6094F"/>
    <w:rsid w:val="00F60EB4"/>
    <w:rsid w:val="00F617BD"/>
    <w:rsid w:val="00F61921"/>
    <w:rsid w:val="00F61966"/>
    <w:rsid w:val="00F61BDB"/>
    <w:rsid w:val="00F61CED"/>
    <w:rsid w:val="00F621FD"/>
    <w:rsid w:val="00F622A8"/>
    <w:rsid w:val="00F6231C"/>
    <w:rsid w:val="00F62FF3"/>
    <w:rsid w:val="00F63047"/>
    <w:rsid w:val="00F633D4"/>
    <w:rsid w:val="00F6379E"/>
    <w:rsid w:val="00F63914"/>
    <w:rsid w:val="00F6396D"/>
    <w:rsid w:val="00F639C6"/>
    <w:rsid w:val="00F648F8"/>
    <w:rsid w:val="00F64F94"/>
    <w:rsid w:val="00F6516F"/>
    <w:rsid w:val="00F65344"/>
    <w:rsid w:val="00F65429"/>
    <w:rsid w:val="00F656AA"/>
    <w:rsid w:val="00F65762"/>
    <w:rsid w:val="00F65B44"/>
    <w:rsid w:val="00F65C56"/>
    <w:rsid w:val="00F65E0F"/>
    <w:rsid w:val="00F660BD"/>
    <w:rsid w:val="00F668C1"/>
    <w:rsid w:val="00F669E1"/>
    <w:rsid w:val="00F701A6"/>
    <w:rsid w:val="00F70249"/>
    <w:rsid w:val="00F70604"/>
    <w:rsid w:val="00F70874"/>
    <w:rsid w:val="00F70978"/>
    <w:rsid w:val="00F709B4"/>
    <w:rsid w:val="00F70B2C"/>
    <w:rsid w:val="00F70D57"/>
    <w:rsid w:val="00F716F6"/>
    <w:rsid w:val="00F71990"/>
    <w:rsid w:val="00F71F34"/>
    <w:rsid w:val="00F72061"/>
    <w:rsid w:val="00F72170"/>
    <w:rsid w:val="00F7234C"/>
    <w:rsid w:val="00F7271C"/>
    <w:rsid w:val="00F72D66"/>
    <w:rsid w:val="00F72E0A"/>
    <w:rsid w:val="00F73012"/>
    <w:rsid w:val="00F74468"/>
    <w:rsid w:val="00F7491C"/>
    <w:rsid w:val="00F74A00"/>
    <w:rsid w:val="00F74A83"/>
    <w:rsid w:val="00F75233"/>
    <w:rsid w:val="00F753BC"/>
    <w:rsid w:val="00F75410"/>
    <w:rsid w:val="00F75A5B"/>
    <w:rsid w:val="00F76301"/>
    <w:rsid w:val="00F76611"/>
    <w:rsid w:val="00F7665D"/>
    <w:rsid w:val="00F76B76"/>
    <w:rsid w:val="00F7725A"/>
    <w:rsid w:val="00F77787"/>
    <w:rsid w:val="00F77AFA"/>
    <w:rsid w:val="00F77C59"/>
    <w:rsid w:val="00F80146"/>
    <w:rsid w:val="00F80595"/>
    <w:rsid w:val="00F80D67"/>
    <w:rsid w:val="00F80F67"/>
    <w:rsid w:val="00F81501"/>
    <w:rsid w:val="00F8178D"/>
    <w:rsid w:val="00F81C28"/>
    <w:rsid w:val="00F8264D"/>
    <w:rsid w:val="00F82842"/>
    <w:rsid w:val="00F82A6B"/>
    <w:rsid w:val="00F82C4B"/>
    <w:rsid w:val="00F82C93"/>
    <w:rsid w:val="00F83389"/>
    <w:rsid w:val="00F83C43"/>
    <w:rsid w:val="00F83EF6"/>
    <w:rsid w:val="00F84008"/>
    <w:rsid w:val="00F8410B"/>
    <w:rsid w:val="00F845B3"/>
    <w:rsid w:val="00F848AC"/>
    <w:rsid w:val="00F84908"/>
    <w:rsid w:val="00F84D70"/>
    <w:rsid w:val="00F84D83"/>
    <w:rsid w:val="00F84FBB"/>
    <w:rsid w:val="00F85093"/>
    <w:rsid w:val="00F85195"/>
    <w:rsid w:val="00F85454"/>
    <w:rsid w:val="00F858BE"/>
    <w:rsid w:val="00F85B45"/>
    <w:rsid w:val="00F85B57"/>
    <w:rsid w:val="00F85E1B"/>
    <w:rsid w:val="00F8619C"/>
    <w:rsid w:val="00F864DA"/>
    <w:rsid w:val="00F86A10"/>
    <w:rsid w:val="00F86BD4"/>
    <w:rsid w:val="00F86C5F"/>
    <w:rsid w:val="00F86CF5"/>
    <w:rsid w:val="00F86E78"/>
    <w:rsid w:val="00F87171"/>
    <w:rsid w:val="00F874AB"/>
    <w:rsid w:val="00F877A1"/>
    <w:rsid w:val="00F8788E"/>
    <w:rsid w:val="00F87A25"/>
    <w:rsid w:val="00F87DEB"/>
    <w:rsid w:val="00F87FAA"/>
    <w:rsid w:val="00F900C4"/>
    <w:rsid w:val="00F906EE"/>
    <w:rsid w:val="00F9094E"/>
    <w:rsid w:val="00F90AF9"/>
    <w:rsid w:val="00F91959"/>
    <w:rsid w:val="00F923DF"/>
    <w:rsid w:val="00F9265D"/>
    <w:rsid w:val="00F92C71"/>
    <w:rsid w:val="00F92D10"/>
    <w:rsid w:val="00F9316A"/>
    <w:rsid w:val="00F93970"/>
    <w:rsid w:val="00F93D45"/>
    <w:rsid w:val="00F93DBE"/>
    <w:rsid w:val="00F93F39"/>
    <w:rsid w:val="00F94D7D"/>
    <w:rsid w:val="00F94FCB"/>
    <w:rsid w:val="00F94FF6"/>
    <w:rsid w:val="00F95006"/>
    <w:rsid w:val="00F95CE7"/>
    <w:rsid w:val="00F95EA7"/>
    <w:rsid w:val="00F96C22"/>
    <w:rsid w:val="00F96D0D"/>
    <w:rsid w:val="00F9712C"/>
    <w:rsid w:val="00F97538"/>
    <w:rsid w:val="00F976F6"/>
    <w:rsid w:val="00F97FCF"/>
    <w:rsid w:val="00FA0326"/>
    <w:rsid w:val="00FA036A"/>
    <w:rsid w:val="00FA036E"/>
    <w:rsid w:val="00FA065C"/>
    <w:rsid w:val="00FA09B6"/>
    <w:rsid w:val="00FA0E40"/>
    <w:rsid w:val="00FA1409"/>
    <w:rsid w:val="00FA1419"/>
    <w:rsid w:val="00FA146A"/>
    <w:rsid w:val="00FA1867"/>
    <w:rsid w:val="00FA1D07"/>
    <w:rsid w:val="00FA226A"/>
    <w:rsid w:val="00FA2515"/>
    <w:rsid w:val="00FA2C94"/>
    <w:rsid w:val="00FA2F33"/>
    <w:rsid w:val="00FA3251"/>
    <w:rsid w:val="00FA3770"/>
    <w:rsid w:val="00FA38E0"/>
    <w:rsid w:val="00FA3FEA"/>
    <w:rsid w:val="00FA4A6B"/>
    <w:rsid w:val="00FA4B23"/>
    <w:rsid w:val="00FA4B9D"/>
    <w:rsid w:val="00FA4F25"/>
    <w:rsid w:val="00FA4F29"/>
    <w:rsid w:val="00FA52A0"/>
    <w:rsid w:val="00FA538C"/>
    <w:rsid w:val="00FA57CD"/>
    <w:rsid w:val="00FA58A9"/>
    <w:rsid w:val="00FA5ADD"/>
    <w:rsid w:val="00FA5E8B"/>
    <w:rsid w:val="00FA61FA"/>
    <w:rsid w:val="00FA62D3"/>
    <w:rsid w:val="00FA67D9"/>
    <w:rsid w:val="00FA6AE5"/>
    <w:rsid w:val="00FA6C7C"/>
    <w:rsid w:val="00FA715F"/>
    <w:rsid w:val="00FA74F3"/>
    <w:rsid w:val="00FA7A32"/>
    <w:rsid w:val="00FA7B07"/>
    <w:rsid w:val="00FB04E3"/>
    <w:rsid w:val="00FB0962"/>
    <w:rsid w:val="00FB0A4B"/>
    <w:rsid w:val="00FB0D91"/>
    <w:rsid w:val="00FB1216"/>
    <w:rsid w:val="00FB1716"/>
    <w:rsid w:val="00FB1AF7"/>
    <w:rsid w:val="00FB1D0D"/>
    <w:rsid w:val="00FB204C"/>
    <w:rsid w:val="00FB2101"/>
    <w:rsid w:val="00FB2429"/>
    <w:rsid w:val="00FB291A"/>
    <w:rsid w:val="00FB35CD"/>
    <w:rsid w:val="00FB3B94"/>
    <w:rsid w:val="00FB415E"/>
    <w:rsid w:val="00FB43D1"/>
    <w:rsid w:val="00FB4709"/>
    <w:rsid w:val="00FB4859"/>
    <w:rsid w:val="00FB48FD"/>
    <w:rsid w:val="00FB4C6F"/>
    <w:rsid w:val="00FB4CB7"/>
    <w:rsid w:val="00FB51CA"/>
    <w:rsid w:val="00FB5BDF"/>
    <w:rsid w:val="00FB5CC6"/>
    <w:rsid w:val="00FB60D8"/>
    <w:rsid w:val="00FB615F"/>
    <w:rsid w:val="00FB61C2"/>
    <w:rsid w:val="00FB6265"/>
    <w:rsid w:val="00FB6E49"/>
    <w:rsid w:val="00FB7152"/>
    <w:rsid w:val="00FB7224"/>
    <w:rsid w:val="00FB77DD"/>
    <w:rsid w:val="00FB7A07"/>
    <w:rsid w:val="00FB7D53"/>
    <w:rsid w:val="00FB7E3F"/>
    <w:rsid w:val="00FC08A2"/>
    <w:rsid w:val="00FC08DB"/>
    <w:rsid w:val="00FC0EE6"/>
    <w:rsid w:val="00FC0F73"/>
    <w:rsid w:val="00FC1962"/>
    <w:rsid w:val="00FC1A30"/>
    <w:rsid w:val="00FC20EC"/>
    <w:rsid w:val="00FC249F"/>
    <w:rsid w:val="00FC258E"/>
    <w:rsid w:val="00FC2591"/>
    <w:rsid w:val="00FC274B"/>
    <w:rsid w:val="00FC274F"/>
    <w:rsid w:val="00FC2B0B"/>
    <w:rsid w:val="00FC30F7"/>
    <w:rsid w:val="00FC3567"/>
    <w:rsid w:val="00FC35A6"/>
    <w:rsid w:val="00FC38B4"/>
    <w:rsid w:val="00FC3976"/>
    <w:rsid w:val="00FC3991"/>
    <w:rsid w:val="00FC3C20"/>
    <w:rsid w:val="00FC3E64"/>
    <w:rsid w:val="00FC3FBE"/>
    <w:rsid w:val="00FC4412"/>
    <w:rsid w:val="00FC4775"/>
    <w:rsid w:val="00FC52DC"/>
    <w:rsid w:val="00FC5320"/>
    <w:rsid w:val="00FC5742"/>
    <w:rsid w:val="00FC5E7D"/>
    <w:rsid w:val="00FC5EE8"/>
    <w:rsid w:val="00FC6089"/>
    <w:rsid w:val="00FC62B7"/>
    <w:rsid w:val="00FC6368"/>
    <w:rsid w:val="00FC6458"/>
    <w:rsid w:val="00FC6F14"/>
    <w:rsid w:val="00FC72E3"/>
    <w:rsid w:val="00FC760C"/>
    <w:rsid w:val="00FC7617"/>
    <w:rsid w:val="00FC7823"/>
    <w:rsid w:val="00FC7D38"/>
    <w:rsid w:val="00FC7D6B"/>
    <w:rsid w:val="00FC7F30"/>
    <w:rsid w:val="00FD01AD"/>
    <w:rsid w:val="00FD0576"/>
    <w:rsid w:val="00FD0968"/>
    <w:rsid w:val="00FD0DDC"/>
    <w:rsid w:val="00FD127C"/>
    <w:rsid w:val="00FD19B9"/>
    <w:rsid w:val="00FD22F7"/>
    <w:rsid w:val="00FD22FA"/>
    <w:rsid w:val="00FD2309"/>
    <w:rsid w:val="00FD2A36"/>
    <w:rsid w:val="00FD2D16"/>
    <w:rsid w:val="00FD2D2D"/>
    <w:rsid w:val="00FD3078"/>
    <w:rsid w:val="00FD30F8"/>
    <w:rsid w:val="00FD32EA"/>
    <w:rsid w:val="00FD379D"/>
    <w:rsid w:val="00FD3CA3"/>
    <w:rsid w:val="00FD3D31"/>
    <w:rsid w:val="00FD3D9E"/>
    <w:rsid w:val="00FD3F24"/>
    <w:rsid w:val="00FD4CD3"/>
    <w:rsid w:val="00FD4D6D"/>
    <w:rsid w:val="00FD4E20"/>
    <w:rsid w:val="00FD4F05"/>
    <w:rsid w:val="00FD5189"/>
    <w:rsid w:val="00FD568B"/>
    <w:rsid w:val="00FD56BA"/>
    <w:rsid w:val="00FD5E49"/>
    <w:rsid w:val="00FD624C"/>
    <w:rsid w:val="00FD682B"/>
    <w:rsid w:val="00FD6B7C"/>
    <w:rsid w:val="00FD6D1A"/>
    <w:rsid w:val="00FD6DB8"/>
    <w:rsid w:val="00FD704A"/>
    <w:rsid w:val="00FD715C"/>
    <w:rsid w:val="00FD747A"/>
    <w:rsid w:val="00FD7605"/>
    <w:rsid w:val="00FD78F8"/>
    <w:rsid w:val="00FD7A3B"/>
    <w:rsid w:val="00FD7BFA"/>
    <w:rsid w:val="00FD7E1A"/>
    <w:rsid w:val="00FD7E6F"/>
    <w:rsid w:val="00FE001E"/>
    <w:rsid w:val="00FE0256"/>
    <w:rsid w:val="00FE0336"/>
    <w:rsid w:val="00FE05E7"/>
    <w:rsid w:val="00FE07AA"/>
    <w:rsid w:val="00FE07DB"/>
    <w:rsid w:val="00FE07EA"/>
    <w:rsid w:val="00FE0956"/>
    <w:rsid w:val="00FE09B8"/>
    <w:rsid w:val="00FE0E21"/>
    <w:rsid w:val="00FE1E7F"/>
    <w:rsid w:val="00FE1ED8"/>
    <w:rsid w:val="00FE1FA4"/>
    <w:rsid w:val="00FE1FE6"/>
    <w:rsid w:val="00FE2053"/>
    <w:rsid w:val="00FE232B"/>
    <w:rsid w:val="00FE2DC6"/>
    <w:rsid w:val="00FE35CE"/>
    <w:rsid w:val="00FE3605"/>
    <w:rsid w:val="00FE3A65"/>
    <w:rsid w:val="00FE3EA1"/>
    <w:rsid w:val="00FE3F73"/>
    <w:rsid w:val="00FE3FE3"/>
    <w:rsid w:val="00FE426B"/>
    <w:rsid w:val="00FE4475"/>
    <w:rsid w:val="00FE447E"/>
    <w:rsid w:val="00FE4672"/>
    <w:rsid w:val="00FE48B8"/>
    <w:rsid w:val="00FE48F8"/>
    <w:rsid w:val="00FE4BAF"/>
    <w:rsid w:val="00FE4CC1"/>
    <w:rsid w:val="00FE4CF5"/>
    <w:rsid w:val="00FE4E23"/>
    <w:rsid w:val="00FE4E53"/>
    <w:rsid w:val="00FE4EC5"/>
    <w:rsid w:val="00FE4F41"/>
    <w:rsid w:val="00FE595D"/>
    <w:rsid w:val="00FE5C84"/>
    <w:rsid w:val="00FE5C8C"/>
    <w:rsid w:val="00FE6815"/>
    <w:rsid w:val="00FE68D5"/>
    <w:rsid w:val="00FE69AE"/>
    <w:rsid w:val="00FE6C44"/>
    <w:rsid w:val="00FE6EA0"/>
    <w:rsid w:val="00FE7750"/>
    <w:rsid w:val="00FE7A5F"/>
    <w:rsid w:val="00FF0194"/>
    <w:rsid w:val="00FF0CD4"/>
    <w:rsid w:val="00FF13C7"/>
    <w:rsid w:val="00FF1560"/>
    <w:rsid w:val="00FF24E3"/>
    <w:rsid w:val="00FF2672"/>
    <w:rsid w:val="00FF27E4"/>
    <w:rsid w:val="00FF2943"/>
    <w:rsid w:val="00FF2B74"/>
    <w:rsid w:val="00FF2CAF"/>
    <w:rsid w:val="00FF2D63"/>
    <w:rsid w:val="00FF3770"/>
    <w:rsid w:val="00FF3888"/>
    <w:rsid w:val="00FF3AA6"/>
    <w:rsid w:val="00FF3B5B"/>
    <w:rsid w:val="00FF3C38"/>
    <w:rsid w:val="00FF3DAD"/>
    <w:rsid w:val="00FF41B4"/>
    <w:rsid w:val="00FF48AB"/>
    <w:rsid w:val="00FF4B5F"/>
    <w:rsid w:val="00FF4F72"/>
    <w:rsid w:val="00FF574D"/>
    <w:rsid w:val="00FF5EA8"/>
    <w:rsid w:val="00FF604C"/>
    <w:rsid w:val="00FF6683"/>
    <w:rsid w:val="00FF67B2"/>
    <w:rsid w:val="00FF6AA2"/>
    <w:rsid w:val="00FF6CBF"/>
    <w:rsid w:val="00FF6F62"/>
    <w:rsid w:val="00FF7209"/>
    <w:rsid w:val="00FF7280"/>
    <w:rsid w:val="00FF7730"/>
    <w:rsid w:val="00FF77EF"/>
    <w:rsid w:val="00FF7BAE"/>
    <w:rsid w:val="01114AF0"/>
    <w:rsid w:val="0120CC21"/>
    <w:rsid w:val="01267158"/>
    <w:rsid w:val="0132D740"/>
    <w:rsid w:val="01460F6E"/>
    <w:rsid w:val="014B3B22"/>
    <w:rsid w:val="01ABCDE5"/>
    <w:rsid w:val="01B31A78"/>
    <w:rsid w:val="01D3E3C3"/>
    <w:rsid w:val="02030E05"/>
    <w:rsid w:val="0204148F"/>
    <w:rsid w:val="0212A249"/>
    <w:rsid w:val="022ACF48"/>
    <w:rsid w:val="022C6267"/>
    <w:rsid w:val="02312AE0"/>
    <w:rsid w:val="02599187"/>
    <w:rsid w:val="025E7601"/>
    <w:rsid w:val="0275620C"/>
    <w:rsid w:val="02766394"/>
    <w:rsid w:val="029EA578"/>
    <w:rsid w:val="02A67BC7"/>
    <w:rsid w:val="02C09D40"/>
    <w:rsid w:val="02C3D7D2"/>
    <w:rsid w:val="02DEDF10"/>
    <w:rsid w:val="03196FA3"/>
    <w:rsid w:val="032E1267"/>
    <w:rsid w:val="033931E0"/>
    <w:rsid w:val="0340A342"/>
    <w:rsid w:val="034A6B65"/>
    <w:rsid w:val="038A0CDF"/>
    <w:rsid w:val="03A5D883"/>
    <w:rsid w:val="03AD0AF1"/>
    <w:rsid w:val="03EB9EF7"/>
    <w:rsid w:val="03F374E5"/>
    <w:rsid w:val="03F86E4D"/>
    <w:rsid w:val="03FB8463"/>
    <w:rsid w:val="0404ECE1"/>
    <w:rsid w:val="0417CEE2"/>
    <w:rsid w:val="0426DE71"/>
    <w:rsid w:val="0427E482"/>
    <w:rsid w:val="043DCC29"/>
    <w:rsid w:val="045B610C"/>
    <w:rsid w:val="048DD026"/>
    <w:rsid w:val="048FC941"/>
    <w:rsid w:val="04A46BB1"/>
    <w:rsid w:val="04B26C57"/>
    <w:rsid w:val="04D0F0B7"/>
    <w:rsid w:val="04DFA816"/>
    <w:rsid w:val="0515E8E7"/>
    <w:rsid w:val="052BBFFB"/>
    <w:rsid w:val="053B463F"/>
    <w:rsid w:val="054E70C0"/>
    <w:rsid w:val="055B258E"/>
    <w:rsid w:val="0562F30E"/>
    <w:rsid w:val="057F576F"/>
    <w:rsid w:val="05A8F8B3"/>
    <w:rsid w:val="05DB607B"/>
    <w:rsid w:val="05F357DC"/>
    <w:rsid w:val="0604BA5F"/>
    <w:rsid w:val="066B914E"/>
    <w:rsid w:val="068E6469"/>
    <w:rsid w:val="0699D28A"/>
    <w:rsid w:val="069DDD0C"/>
    <w:rsid w:val="06A312E6"/>
    <w:rsid w:val="06DC3125"/>
    <w:rsid w:val="06E78CD3"/>
    <w:rsid w:val="06EE2BBA"/>
    <w:rsid w:val="06FD280D"/>
    <w:rsid w:val="06FEDE24"/>
    <w:rsid w:val="0703C3E1"/>
    <w:rsid w:val="0709CBDF"/>
    <w:rsid w:val="07186412"/>
    <w:rsid w:val="071FA38A"/>
    <w:rsid w:val="07625459"/>
    <w:rsid w:val="076484D0"/>
    <w:rsid w:val="076795A5"/>
    <w:rsid w:val="0785FEEE"/>
    <w:rsid w:val="078C975B"/>
    <w:rsid w:val="079886E4"/>
    <w:rsid w:val="07C0CAA6"/>
    <w:rsid w:val="07CA1380"/>
    <w:rsid w:val="08419B01"/>
    <w:rsid w:val="084A5081"/>
    <w:rsid w:val="085CDC79"/>
    <w:rsid w:val="086D9147"/>
    <w:rsid w:val="0875BCC1"/>
    <w:rsid w:val="08904AA8"/>
    <w:rsid w:val="089DAA9F"/>
    <w:rsid w:val="08BF8335"/>
    <w:rsid w:val="08D0466F"/>
    <w:rsid w:val="08E830F6"/>
    <w:rsid w:val="08FC76DD"/>
    <w:rsid w:val="09304BEB"/>
    <w:rsid w:val="0942EE13"/>
    <w:rsid w:val="09566FF8"/>
    <w:rsid w:val="09590183"/>
    <w:rsid w:val="0982EF55"/>
    <w:rsid w:val="0993ED32"/>
    <w:rsid w:val="099DDB81"/>
    <w:rsid w:val="09A5B0DD"/>
    <w:rsid w:val="09CAB35F"/>
    <w:rsid w:val="0A035DCD"/>
    <w:rsid w:val="0A10B00E"/>
    <w:rsid w:val="0A22F9C9"/>
    <w:rsid w:val="0A355B5D"/>
    <w:rsid w:val="0A427E07"/>
    <w:rsid w:val="0A5D3B29"/>
    <w:rsid w:val="0A60964A"/>
    <w:rsid w:val="0A6C16D0"/>
    <w:rsid w:val="0A8E04CC"/>
    <w:rsid w:val="0B34BF39"/>
    <w:rsid w:val="0B6BB006"/>
    <w:rsid w:val="0B6DB460"/>
    <w:rsid w:val="0B6EEACA"/>
    <w:rsid w:val="0B9D3CBE"/>
    <w:rsid w:val="0BB0A0CB"/>
    <w:rsid w:val="0BF8EB85"/>
    <w:rsid w:val="0BFEFF83"/>
    <w:rsid w:val="0C243BA5"/>
    <w:rsid w:val="0C2CA09C"/>
    <w:rsid w:val="0C3C2F2E"/>
    <w:rsid w:val="0C6252C6"/>
    <w:rsid w:val="0C67ECAD"/>
    <w:rsid w:val="0C6E5678"/>
    <w:rsid w:val="0C731D0C"/>
    <w:rsid w:val="0CA0C414"/>
    <w:rsid w:val="0CA31E44"/>
    <w:rsid w:val="0CFAF026"/>
    <w:rsid w:val="0D411052"/>
    <w:rsid w:val="0D74F148"/>
    <w:rsid w:val="0DB4985A"/>
    <w:rsid w:val="0E0E0561"/>
    <w:rsid w:val="0E162A40"/>
    <w:rsid w:val="0E25F85F"/>
    <w:rsid w:val="0E67BFA1"/>
    <w:rsid w:val="0E891481"/>
    <w:rsid w:val="0EA6BD1E"/>
    <w:rsid w:val="0EB34903"/>
    <w:rsid w:val="0EB3B802"/>
    <w:rsid w:val="0EB761CC"/>
    <w:rsid w:val="0EB884BF"/>
    <w:rsid w:val="0EC6ADAE"/>
    <w:rsid w:val="0F00690C"/>
    <w:rsid w:val="0F0816B0"/>
    <w:rsid w:val="0F402232"/>
    <w:rsid w:val="0F79A8BC"/>
    <w:rsid w:val="0F8939D4"/>
    <w:rsid w:val="0FA3A1F1"/>
    <w:rsid w:val="0FA4843D"/>
    <w:rsid w:val="0FD98DEE"/>
    <w:rsid w:val="1017939F"/>
    <w:rsid w:val="102A6734"/>
    <w:rsid w:val="105BE7B2"/>
    <w:rsid w:val="10627E0F"/>
    <w:rsid w:val="1081BABB"/>
    <w:rsid w:val="10935AFA"/>
    <w:rsid w:val="10CE2504"/>
    <w:rsid w:val="10DF225E"/>
    <w:rsid w:val="10F70CA1"/>
    <w:rsid w:val="1123924C"/>
    <w:rsid w:val="112A51A4"/>
    <w:rsid w:val="112A5E4D"/>
    <w:rsid w:val="114D3671"/>
    <w:rsid w:val="1166A06B"/>
    <w:rsid w:val="116EC654"/>
    <w:rsid w:val="11801357"/>
    <w:rsid w:val="11882745"/>
    <w:rsid w:val="11B5159D"/>
    <w:rsid w:val="11B648F2"/>
    <w:rsid w:val="11FE4E70"/>
    <w:rsid w:val="122225DF"/>
    <w:rsid w:val="1224302B"/>
    <w:rsid w:val="122F2E81"/>
    <w:rsid w:val="12372445"/>
    <w:rsid w:val="1249AA9E"/>
    <w:rsid w:val="124B7498"/>
    <w:rsid w:val="12579F06"/>
    <w:rsid w:val="12916BC8"/>
    <w:rsid w:val="12AEEAED"/>
    <w:rsid w:val="12B4D9C0"/>
    <w:rsid w:val="12C6D39F"/>
    <w:rsid w:val="12CE99CB"/>
    <w:rsid w:val="12D913BC"/>
    <w:rsid w:val="12DF59AE"/>
    <w:rsid w:val="12E90EFB"/>
    <w:rsid w:val="13200783"/>
    <w:rsid w:val="133B154A"/>
    <w:rsid w:val="1344F0AA"/>
    <w:rsid w:val="134F3461"/>
    <w:rsid w:val="13532ED3"/>
    <w:rsid w:val="1364DD13"/>
    <w:rsid w:val="137F19DE"/>
    <w:rsid w:val="13838A6E"/>
    <w:rsid w:val="13A514AC"/>
    <w:rsid w:val="13D10959"/>
    <w:rsid w:val="13D42AB8"/>
    <w:rsid w:val="13E62841"/>
    <w:rsid w:val="1413217C"/>
    <w:rsid w:val="14421CF0"/>
    <w:rsid w:val="144F8892"/>
    <w:rsid w:val="148C2255"/>
    <w:rsid w:val="149B9F24"/>
    <w:rsid w:val="14B4074C"/>
    <w:rsid w:val="14C1A4F9"/>
    <w:rsid w:val="14CCF262"/>
    <w:rsid w:val="14FCD645"/>
    <w:rsid w:val="1504B0EB"/>
    <w:rsid w:val="15251972"/>
    <w:rsid w:val="15342868"/>
    <w:rsid w:val="1536128E"/>
    <w:rsid w:val="153A69C3"/>
    <w:rsid w:val="153F691F"/>
    <w:rsid w:val="15407435"/>
    <w:rsid w:val="1541845C"/>
    <w:rsid w:val="15634E90"/>
    <w:rsid w:val="15640B51"/>
    <w:rsid w:val="156E28D3"/>
    <w:rsid w:val="157CB15B"/>
    <w:rsid w:val="15B5EF84"/>
    <w:rsid w:val="15B84995"/>
    <w:rsid w:val="15BCDD60"/>
    <w:rsid w:val="16231BC8"/>
    <w:rsid w:val="162B2096"/>
    <w:rsid w:val="1638A6C7"/>
    <w:rsid w:val="165E2EE2"/>
    <w:rsid w:val="166D3CA5"/>
    <w:rsid w:val="169D9ED4"/>
    <w:rsid w:val="16B7E2C4"/>
    <w:rsid w:val="16C19C89"/>
    <w:rsid w:val="16D46C35"/>
    <w:rsid w:val="16F28435"/>
    <w:rsid w:val="16F6A2EA"/>
    <w:rsid w:val="1702CC3E"/>
    <w:rsid w:val="17131028"/>
    <w:rsid w:val="1721A0E5"/>
    <w:rsid w:val="172AB006"/>
    <w:rsid w:val="172C99BC"/>
    <w:rsid w:val="1741A6BD"/>
    <w:rsid w:val="17501363"/>
    <w:rsid w:val="17A2CB03"/>
    <w:rsid w:val="17A595E2"/>
    <w:rsid w:val="17A7921C"/>
    <w:rsid w:val="17D16506"/>
    <w:rsid w:val="17D9E0B1"/>
    <w:rsid w:val="17E8969E"/>
    <w:rsid w:val="17FFEDA8"/>
    <w:rsid w:val="18097D56"/>
    <w:rsid w:val="18141093"/>
    <w:rsid w:val="181BF3F2"/>
    <w:rsid w:val="18425319"/>
    <w:rsid w:val="186EEA42"/>
    <w:rsid w:val="187529D0"/>
    <w:rsid w:val="187709E1"/>
    <w:rsid w:val="188287D8"/>
    <w:rsid w:val="188629EB"/>
    <w:rsid w:val="1888171C"/>
    <w:rsid w:val="188B6E41"/>
    <w:rsid w:val="18D8CF36"/>
    <w:rsid w:val="18EC2C1E"/>
    <w:rsid w:val="1903327E"/>
    <w:rsid w:val="19065BC4"/>
    <w:rsid w:val="190E4F0E"/>
    <w:rsid w:val="191A8060"/>
    <w:rsid w:val="191FE749"/>
    <w:rsid w:val="194646DD"/>
    <w:rsid w:val="19570247"/>
    <w:rsid w:val="195A0385"/>
    <w:rsid w:val="19A853C1"/>
    <w:rsid w:val="19AF8484"/>
    <w:rsid w:val="19B0F50E"/>
    <w:rsid w:val="1A15504F"/>
    <w:rsid w:val="1A1786FC"/>
    <w:rsid w:val="1A263520"/>
    <w:rsid w:val="1A3E1482"/>
    <w:rsid w:val="1A4C352C"/>
    <w:rsid w:val="1A6F9DB2"/>
    <w:rsid w:val="1A958FED"/>
    <w:rsid w:val="1A985DB8"/>
    <w:rsid w:val="1AE5F168"/>
    <w:rsid w:val="1B01E756"/>
    <w:rsid w:val="1B464B5F"/>
    <w:rsid w:val="1B4E2744"/>
    <w:rsid w:val="1B5BD537"/>
    <w:rsid w:val="1B5E9B82"/>
    <w:rsid w:val="1B625515"/>
    <w:rsid w:val="1B875173"/>
    <w:rsid w:val="1B971275"/>
    <w:rsid w:val="1BC1BB92"/>
    <w:rsid w:val="1BE56431"/>
    <w:rsid w:val="1C000ADF"/>
    <w:rsid w:val="1C2336F5"/>
    <w:rsid w:val="1C2E142E"/>
    <w:rsid w:val="1C2F6D4C"/>
    <w:rsid w:val="1C3B4EDB"/>
    <w:rsid w:val="1C5D36E0"/>
    <w:rsid w:val="1C623F6E"/>
    <w:rsid w:val="1C76E3EE"/>
    <w:rsid w:val="1C79BEA6"/>
    <w:rsid w:val="1C7AABE0"/>
    <w:rsid w:val="1CAB3129"/>
    <w:rsid w:val="1CE171C5"/>
    <w:rsid w:val="1CEA29C4"/>
    <w:rsid w:val="1D22F6B7"/>
    <w:rsid w:val="1D314382"/>
    <w:rsid w:val="1D7DDC25"/>
    <w:rsid w:val="1DA0BE87"/>
    <w:rsid w:val="1DAC0251"/>
    <w:rsid w:val="1DAE8674"/>
    <w:rsid w:val="1DD3D3C5"/>
    <w:rsid w:val="1DEE8CEC"/>
    <w:rsid w:val="1DF5FB80"/>
    <w:rsid w:val="1E23699C"/>
    <w:rsid w:val="1E25DB6A"/>
    <w:rsid w:val="1E2FCBC6"/>
    <w:rsid w:val="1E3FB2CD"/>
    <w:rsid w:val="1E780713"/>
    <w:rsid w:val="1E7B6EF8"/>
    <w:rsid w:val="1E91E708"/>
    <w:rsid w:val="1ED62503"/>
    <w:rsid w:val="1EE97D4F"/>
    <w:rsid w:val="1EEE6BD6"/>
    <w:rsid w:val="1EF34267"/>
    <w:rsid w:val="1F2E5A55"/>
    <w:rsid w:val="1F374307"/>
    <w:rsid w:val="1F3772CD"/>
    <w:rsid w:val="1F7BB8BD"/>
    <w:rsid w:val="1F8A904D"/>
    <w:rsid w:val="1FC60C68"/>
    <w:rsid w:val="1FF56CDC"/>
    <w:rsid w:val="20022CBB"/>
    <w:rsid w:val="2004A042"/>
    <w:rsid w:val="20160FF6"/>
    <w:rsid w:val="202078C4"/>
    <w:rsid w:val="202A64E0"/>
    <w:rsid w:val="203983BA"/>
    <w:rsid w:val="203D9D5F"/>
    <w:rsid w:val="20433CE4"/>
    <w:rsid w:val="20648B85"/>
    <w:rsid w:val="208207F9"/>
    <w:rsid w:val="2088713C"/>
    <w:rsid w:val="2088A9E6"/>
    <w:rsid w:val="208CF040"/>
    <w:rsid w:val="208F4C9A"/>
    <w:rsid w:val="20B363FC"/>
    <w:rsid w:val="20C1B94A"/>
    <w:rsid w:val="20DFB401"/>
    <w:rsid w:val="20E2B5E0"/>
    <w:rsid w:val="20F8979C"/>
    <w:rsid w:val="2103F9F8"/>
    <w:rsid w:val="2198F2F9"/>
    <w:rsid w:val="21A49E42"/>
    <w:rsid w:val="21A96B5C"/>
    <w:rsid w:val="21D9AF22"/>
    <w:rsid w:val="21DCE0F5"/>
    <w:rsid w:val="221A4AA2"/>
    <w:rsid w:val="221E0042"/>
    <w:rsid w:val="224DF3CE"/>
    <w:rsid w:val="228C416A"/>
    <w:rsid w:val="22A56061"/>
    <w:rsid w:val="22C08BE3"/>
    <w:rsid w:val="22CFE147"/>
    <w:rsid w:val="22ED139B"/>
    <w:rsid w:val="231B32A6"/>
    <w:rsid w:val="23262D7F"/>
    <w:rsid w:val="233FC303"/>
    <w:rsid w:val="234F190F"/>
    <w:rsid w:val="235C0AED"/>
    <w:rsid w:val="2363137B"/>
    <w:rsid w:val="2363BA34"/>
    <w:rsid w:val="236640BF"/>
    <w:rsid w:val="238E469A"/>
    <w:rsid w:val="23CED8E0"/>
    <w:rsid w:val="23F172A2"/>
    <w:rsid w:val="2416CFA9"/>
    <w:rsid w:val="24226A8D"/>
    <w:rsid w:val="24316225"/>
    <w:rsid w:val="244A5722"/>
    <w:rsid w:val="244BDC59"/>
    <w:rsid w:val="246A1887"/>
    <w:rsid w:val="2485DA55"/>
    <w:rsid w:val="249FE4BA"/>
    <w:rsid w:val="24D08C3A"/>
    <w:rsid w:val="24D9A492"/>
    <w:rsid w:val="24F00EFE"/>
    <w:rsid w:val="24FC67A4"/>
    <w:rsid w:val="24FFB42B"/>
    <w:rsid w:val="2516A46D"/>
    <w:rsid w:val="25298763"/>
    <w:rsid w:val="2560CEB0"/>
    <w:rsid w:val="2591A1AE"/>
    <w:rsid w:val="25A3A2BD"/>
    <w:rsid w:val="25AA1C07"/>
    <w:rsid w:val="25B6EBD8"/>
    <w:rsid w:val="25CB5690"/>
    <w:rsid w:val="26201735"/>
    <w:rsid w:val="2622E454"/>
    <w:rsid w:val="26296DDA"/>
    <w:rsid w:val="263BD05A"/>
    <w:rsid w:val="267A41BB"/>
    <w:rsid w:val="269764A1"/>
    <w:rsid w:val="2697FFAB"/>
    <w:rsid w:val="269F1005"/>
    <w:rsid w:val="26DA3625"/>
    <w:rsid w:val="274C2FD3"/>
    <w:rsid w:val="27B5947B"/>
    <w:rsid w:val="27CE08FE"/>
    <w:rsid w:val="27E200F7"/>
    <w:rsid w:val="27E3F0ED"/>
    <w:rsid w:val="28320F4A"/>
    <w:rsid w:val="284FE3CB"/>
    <w:rsid w:val="2850AE92"/>
    <w:rsid w:val="28636D34"/>
    <w:rsid w:val="28AC78F0"/>
    <w:rsid w:val="28BBED32"/>
    <w:rsid w:val="28E3AEA2"/>
    <w:rsid w:val="29091989"/>
    <w:rsid w:val="290F2FC8"/>
    <w:rsid w:val="29521ECC"/>
    <w:rsid w:val="297467DB"/>
    <w:rsid w:val="2977670B"/>
    <w:rsid w:val="297C58BE"/>
    <w:rsid w:val="297DFA50"/>
    <w:rsid w:val="2996B1B7"/>
    <w:rsid w:val="29981639"/>
    <w:rsid w:val="29C2D8C7"/>
    <w:rsid w:val="29E6F1DD"/>
    <w:rsid w:val="29FF102A"/>
    <w:rsid w:val="2A05D223"/>
    <w:rsid w:val="2A86EE7C"/>
    <w:rsid w:val="2AC98700"/>
    <w:rsid w:val="2B1C0C03"/>
    <w:rsid w:val="2B2097CE"/>
    <w:rsid w:val="2B32498A"/>
    <w:rsid w:val="2B34E75B"/>
    <w:rsid w:val="2B3536D3"/>
    <w:rsid w:val="2B475D39"/>
    <w:rsid w:val="2B611C13"/>
    <w:rsid w:val="2B80C478"/>
    <w:rsid w:val="2BA321F3"/>
    <w:rsid w:val="2BABB7D5"/>
    <w:rsid w:val="2BD6368D"/>
    <w:rsid w:val="2BE985F4"/>
    <w:rsid w:val="2C00245E"/>
    <w:rsid w:val="2C1E0658"/>
    <w:rsid w:val="2C26BDF8"/>
    <w:rsid w:val="2C3709BF"/>
    <w:rsid w:val="2C478071"/>
    <w:rsid w:val="2C50CC58"/>
    <w:rsid w:val="2C8A4CF7"/>
    <w:rsid w:val="2C92FD93"/>
    <w:rsid w:val="2C969C8F"/>
    <w:rsid w:val="2CE2B9F6"/>
    <w:rsid w:val="2CE4C8FE"/>
    <w:rsid w:val="2D03E517"/>
    <w:rsid w:val="2D23D7C9"/>
    <w:rsid w:val="2D3C06B1"/>
    <w:rsid w:val="2D3D6D4E"/>
    <w:rsid w:val="2D4150A0"/>
    <w:rsid w:val="2D45DBAC"/>
    <w:rsid w:val="2D886769"/>
    <w:rsid w:val="2DA44DD0"/>
    <w:rsid w:val="2DAC2A5F"/>
    <w:rsid w:val="2DC3D38A"/>
    <w:rsid w:val="2DD8AEA5"/>
    <w:rsid w:val="2DD98AC5"/>
    <w:rsid w:val="2DEE19AE"/>
    <w:rsid w:val="2DF5C709"/>
    <w:rsid w:val="2E13F654"/>
    <w:rsid w:val="2E4B6162"/>
    <w:rsid w:val="2E6A39FE"/>
    <w:rsid w:val="2E6A8354"/>
    <w:rsid w:val="2E6E8375"/>
    <w:rsid w:val="2E86838E"/>
    <w:rsid w:val="2E9EAE57"/>
    <w:rsid w:val="2EAEF698"/>
    <w:rsid w:val="2EB2348D"/>
    <w:rsid w:val="2EBA3166"/>
    <w:rsid w:val="2EBF741D"/>
    <w:rsid w:val="2ED4798B"/>
    <w:rsid w:val="2EF54F1A"/>
    <w:rsid w:val="2F0F1DFC"/>
    <w:rsid w:val="2F160DBA"/>
    <w:rsid w:val="2F2D3BFF"/>
    <w:rsid w:val="2F30C51A"/>
    <w:rsid w:val="2F47E48A"/>
    <w:rsid w:val="2F7A4179"/>
    <w:rsid w:val="2F810322"/>
    <w:rsid w:val="2F925D5C"/>
    <w:rsid w:val="2F9E95C2"/>
    <w:rsid w:val="2FF8A985"/>
    <w:rsid w:val="2FF96229"/>
    <w:rsid w:val="300DBC34"/>
    <w:rsid w:val="30313083"/>
    <w:rsid w:val="303859B4"/>
    <w:rsid w:val="303B8BB1"/>
    <w:rsid w:val="3062926A"/>
    <w:rsid w:val="307049EC"/>
    <w:rsid w:val="30731F88"/>
    <w:rsid w:val="30813F07"/>
    <w:rsid w:val="30D079F2"/>
    <w:rsid w:val="30E25024"/>
    <w:rsid w:val="30EB97BA"/>
    <w:rsid w:val="30EDFD9E"/>
    <w:rsid w:val="30FA2724"/>
    <w:rsid w:val="3130474C"/>
    <w:rsid w:val="3132278A"/>
    <w:rsid w:val="313A0FFE"/>
    <w:rsid w:val="31746F3E"/>
    <w:rsid w:val="31777E1C"/>
    <w:rsid w:val="31780390"/>
    <w:rsid w:val="318A5ECC"/>
    <w:rsid w:val="31B26AD7"/>
    <w:rsid w:val="31C60F95"/>
    <w:rsid w:val="320DAB51"/>
    <w:rsid w:val="322C0F05"/>
    <w:rsid w:val="3239E6DE"/>
    <w:rsid w:val="323C32B7"/>
    <w:rsid w:val="3262A304"/>
    <w:rsid w:val="32782A08"/>
    <w:rsid w:val="327E8942"/>
    <w:rsid w:val="3299862C"/>
    <w:rsid w:val="32A453EB"/>
    <w:rsid w:val="32A6D725"/>
    <w:rsid w:val="32C7121C"/>
    <w:rsid w:val="3307C55D"/>
    <w:rsid w:val="33194EEC"/>
    <w:rsid w:val="336CF4F1"/>
    <w:rsid w:val="337FD55F"/>
    <w:rsid w:val="3385F865"/>
    <w:rsid w:val="33B0471E"/>
    <w:rsid w:val="33B5F6E5"/>
    <w:rsid w:val="33B9378A"/>
    <w:rsid w:val="33C05F61"/>
    <w:rsid w:val="33DD4D05"/>
    <w:rsid w:val="33DE498E"/>
    <w:rsid w:val="33E68DA6"/>
    <w:rsid w:val="33ECB964"/>
    <w:rsid w:val="33F99396"/>
    <w:rsid w:val="33FC6FEB"/>
    <w:rsid w:val="341005AA"/>
    <w:rsid w:val="3431C7E6"/>
    <w:rsid w:val="3431F693"/>
    <w:rsid w:val="34340937"/>
    <w:rsid w:val="344BE030"/>
    <w:rsid w:val="34586934"/>
    <w:rsid w:val="34786558"/>
    <w:rsid w:val="348C2BC3"/>
    <w:rsid w:val="34A4D002"/>
    <w:rsid w:val="34AE5EF0"/>
    <w:rsid w:val="34C4C92D"/>
    <w:rsid w:val="34E1FE80"/>
    <w:rsid w:val="34F02779"/>
    <w:rsid w:val="34F73535"/>
    <w:rsid w:val="34FEDF18"/>
    <w:rsid w:val="35031C23"/>
    <w:rsid w:val="35280E06"/>
    <w:rsid w:val="3582EFE0"/>
    <w:rsid w:val="358AE008"/>
    <w:rsid w:val="35975E57"/>
    <w:rsid w:val="35AAC157"/>
    <w:rsid w:val="35B45D5F"/>
    <w:rsid w:val="35B8BFD0"/>
    <w:rsid w:val="35C4C3A8"/>
    <w:rsid w:val="3631A4AD"/>
    <w:rsid w:val="364EC81E"/>
    <w:rsid w:val="3678F8EE"/>
    <w:rsid w:val="3695EA1C"/>
    <w:rsid w:val="36C46325"/>
    <w:rsid w:val="36E61A08"/>
    <w:rsid w:val="36E66647"/>
    <w:rsid w:val="370F3E24"/>
    <w:rsid w:val="370F5ACD"/>
    <w:rsid w:val="3710D595"/>
    <w:rsid w:val="3713CE62"/>
    <w:rsid w:val="3724A4DA"/>
    <w:rsid w:val="373798FF"/>
    <w:rsid w:val="376908FF"/>
    <w:rsid w:val="37CBE80D"/>
    <w:rsid w:val="37CDB383"/>
    <w:rsid w:val="37D2FA5C"/>
    <w:rsid w:val="37D92EFA"/>
    <w:rsid w:val="37F1BF82"/>
    <w:rsid w:val="37F5A441"/>
    <w:rsid w:val="38337BE6"/>
    <w:rsid w:val="387266E1"/>
    <w:rsid w:val="3880DE5F"/>
    <w:rsid w:val="38A96EFF"/>
    <w:rsid w:val="38B96F04"/>
    <w:rsid w:val="38BE4E3C"/>
    <w:rsid w:val="38CFFD53"/>
    <w:rsid w:val="39036486"/>
    <w:rsid w:val="390A4E1F"/>
    <w:rsid w:val="393E28EA"/>
    <w:rsid w:val="39611F90"/>
    <w:rsid w:val="399174A2"/>
    <w:rsid w:val="39B43F93"/>
    <w:rsid w:val="39C4F37B"/>
    <w:rsid w:val="39EDAD7F"/>
    <w:rsid w:val="39F42789"/>
    <w:rsid w:val="3A0218F9"/>
    <w:rsid w:val="3A061AB1"/>
    <w:rsid w:val="3A0A9043"/>
    <w:rsid w:val="3A0F69B2"/>
    <w:rsid w:val="3A2A0153"/>
    <w:rsid w:val="3A551E8C"/>
    <w:rsid w:val="3A5601BF"/>
    <w:rsid w:val="3A5CE2FD"/>
    <w:rsid w:val="3A7B700D"/>
    <w:rsid w:val="3A96DD1A"/>
    <w:rsid w:val="3AA8D859"/>
    <w:rsid w:val="3AB06EAF"/>
    <w:rsid w:val="3AB57C0E"/>
    <w:rsid w:val="3AF2D48A"/>
    <w:rsid w:val="3B032DEF"/>
    <w:rsid w:val="3B2474F3"/>
    <w:rsid w:val="3B2F8AA8"/>
    <w:rsid w:val="3B4945E3"/>
    <w:rsid w:val="3B73B2F2"/>
    <w:rsid w:val="3B9B9CE3"/>
    <w:rsid w:val="3BB0682D"/>
    <w:rsid w:val="3BD2E59D"/>
    <w:rsid w:val="3BDBE96F"/>
    <w:rsid w:val="3BE446B8"/>
    <w:rsid w:val="3BEAA8F6"/>
    <w:rsid w:val="3C046F2B"/>
    <w:rsid w:val="3C184B3F"/>
    <w:rsid w:val="3C19A909"/>
    <w:rsid w:val="3C365C06"/>
    <w:rsid w:val="3CB85F5B"/>
    <w:rsid w:val="3CC1232E"/>
    <w:rsid w:val="3CC174B8"/>
    <w:rsid w:val="3D080EC2"/>
    <w:rsid w:val="3D163402"/>
    <w:rsid w:val="3D16C547"/>
    <w:rsid w:val="3D1AEBCB"/>
    <w:rsid w:val="3D3C0078"/>
    <w:rsid w:val="3D5C4CCA"/>
    <w:rsid w:val="3D6D7547"/>
    <w:rsid w:val="3DF749FB"/>
    <w:rsid w:val="3E0AD8F9"/>
    <w:rsid w:val="3E0EE6D8"/>
    <w:rsid w:val="3E1F8B3E"/>
    <w:rsid w:val="3E2E5980"/>
    <w:rsid w:val="3E353BB3"/>
    <w:rsid w:val="3E39A0A9"/>
    <w:rsid w:val="3E463695"/>
    <w:rsid w:val="3E55CD94"/>
    <w:rsid w:val="3E7402EA"/>
    <w:rsid w:val="3E86FD60"/>
    <w:rsid w:val="3EC3F246"/>
    <w:rsid w:val="3EC70AB9"/>
    <w:rsid w:val="3F1600FE"/>
    <w:rsid w:val="3F1BA34A"/>
    <w:rsid w:val="3F2FF06B"/>
    <w:rsid w:val="3F47EE9B"/>
    <w:rsid w:val="3F7C3893"/>
    <w:rsid w:val="3FAF6DED"/>
    <w:rsid w:val="3FC09C93"/>
    <w:rsid w:val="3FC8F571"/>
    <w:rsid w:val="3FE7D7EA"/>
    <w:rsid w:val="4024BEB3"/>
    <w:rsid w:val="402E3D46"/>
    <w:rsid w:val="4054FBA7"/>
    <w:rsid w:val="40994AEC"/>
    <w:rsid w:val="409961A8"/>
    <w:rsid w:val="40BA84FA"/>
    <w:rsid w:val="40CA4C4A"/>
    <w:rsid w:val="40CCEBF6"/>
    <w:rsid w:val="40CEFC04"/>
    <w:rsid w:val="412338CA"/>
    <w:rsid w:val="41344833"/>
    <w:rsid w:val="4158B198"/>
    <w:rsid w:val="41833071"/>
    <w:rsid w:val="4190DBAA"/>
    <w:rsid w:val="42166E23"/>
    <w:rsid w:val="423C317D"/>
    <w:rsid w:val="42526D77"/>
    <w:rsid w:val="42665CCC"/>
    <w:rsid w:val="42748DDC"/>
    <w:rsid w:val="427CD0B9"/>
    <w:rsid w:val="42800054"/>
    <w:rsid w:val="42BF2F1D"/>
    <w:rsid w:val="42D6DE29"/>
    <w:rsid w:val="42D7B20C"/>
    <w:rsid w:val="42E108D0"/>
    <w:rsid w:val="42EA1A9F"/>
    <w:rsid w:val="42F4B23E"/>
    <w:rsid w:val="430BCE7C"/>
    <w:rsid w:val="431C8C38"/>
    <w:rsid w:val="431F00D2"/>
    <w:rsid w:val="43268698"/>
    <w:rsid w:val="4334A241"/>
    <w:rsid w:val="43617EA6"/>
    <w:rsid w:val="4361EF90"/>
    <w:rsid w:val="436F2A11"/>
    <w:rsid w:val="438445F4"/>
    <w:rsid w:val="4385DB1C"/>
    <w:rsid w:val="4390862E"/>
    <w:rsid w:val="43B2AEB2"/>
    <w:rsid w:val="43BE01D7"/>
    <w:rsid w:val="43CAA197"/>
    <w:rsid w:val="43D03240"/>
    <w:rsid w:val="43DA2304"/>
    <w:rsid w:val="4431A1AE"/>
    <w:rsid w:val="44C88C38"/>
    <w:rsid w:val="44CFEDA1"/>
    <w:rsid w:val="4519ED4D"/>
    <w:rsid w:val="45574AAA"/>
    <w:rsid w:val="457828E0"/>
    <w:rsid w:val="4591AFEE"/>
    <w:rsid w:val="459E4095"/>
    <w:rsid w:val="45CE7F04"/>
    <w:rsid w:val="45E3F60D"/>
    <w:rsid w:val="45EB8FD0"/>
    <w:rsid w:val="45FC13E5"/>
    <w:rsid w:val="45FF8854"/>
    <w:rsid w:val="461B68D4"/>
    <w:rsid w:val="46204807"/>
    <w:rsid w:val="46378C60"/>
    <w:rsid w:val="463EF7E0"/>
    <w:rsid w:val="46414DEF"/>
    <w:rsid w:val="464B4631"/>
    <w:rsid w:val="46623FF3"/>
    <w:rsid w:val="468B9426"/>
    <w:rsid w:val="4694E2B5"/>
    <w:rsid w:val="46ADB7A8"/>
    <w:rsid w:val="46EB4734"/>
    <w:rsid w:val="47132074"/>
    <w:rsid w:val="472EC4DD"/>
    <w:rsid w:val="473DAFA5"/>
    <w:rsid w:val="47716893"/>
    <w:rsid w:val="47807EA3"/>
    <w:rsid w:val="47ABC89D"/>
    <w:rsid w:val="47B9E1D7"/>
    <w:rsid w:val="47C68733"/>
    <w:rsid w:val="47D4865E"/>
    <w:rsid w:val="47DFC3C7"/>
    <w:rsid w:val="480EB8CA"/>
    <w:rsid w:val="48296747"/>
    <w:rsid w:val="48360BF8"/>
    <w:rsid w:val="486E7FFB"/>
    <w:rsid w:val="487A0A78"/>
    <w:rsid w:val="487B678E"/>
    <w:rsid w:val="489DC6C7"/>
    <w:rsid w:val="48B1465F"/>
    <w:rsid w:val="48D94BBC"/>
    <w:rsid w:val="48E4016B"/>
    <w:rsid w:val="48FDFA94"/>
    <w:rsid w:val="491B96CF"/>
    <w:rsid w:val="49343BE4"/>
    <w:rsid w:val="4943A1F1"/>
    <w:rsid w:val="4982A692"/>
    <w:rsid w:val="4984D38E"/>
    <w:rsid w:val="4993CDDF"/>
    <w:rsid w:val="49A8089C"/>
    <w:rsid w:val="49CA2C28"/>
    <w:rsid w:val="49CD73D4"/>
    <w:rsid w:val="49E0586F"/>
    <w:rsid w:val="49E3CBB3"/>
    <w:rsid w:val="4A11E764"/>
    <w:rsid w:val="4A1F7327"/>
    <w:rsid w:val="4A207695"/>
    <w:rsid w:val="4A30045F"/>
    <w:rsid w:val="4A689D84"/>
    <w:rsid w:val="4A9B0368"/>
    <w:rsid w:val="4A9EAF3A"/>
    <w:rsid w:val="4AAECBBF"/>
    <w:rsid w:val="4AB76730"/>
    <w:rsid w:val="4AC4A625"/>
    <w:rsid w:val="4AD93304"/>
    <w:rsid w:val="4B0FBE18"/>
    <w:rsid w:val="4B240A09"/>
    <w:rsid w:val="4B277DE4"/>
    <w:rsid w:val="4B53895B"/>
    <w:rsid w:val="4B5E29D1"/>
    <w:rsid w:val="4B9C34FF"/>
    <w:rsid w:val="4BA81926"/>
    <w:rsid w:val="4BB305C5"/>
    <w:rsid w:val="4BD76B97"/>
    <w:rsid w:val="4C238F5C"/>
    <w:rsid w:val="4C309B9F"/>
    <w:rsid w:val="4C3125F3"/>
    <w:rsid w:val="4C6CE5F1"/>
    <w:rsid w:val="4C992CE5"/>
    <w:rsid w:val="4CDBE6AA"/>
    <w:rsid w:val="4CF7481F"/>
    <w:rsid w:val="4CFCE3FA"/>
    <w:rsid w:val="4D1D180E"/>
    <w:rsid w:val="4D21872B"/>
    <w:rsid w:val="4D25843B"/>
    <w:rsid w:val="4D82C54E"/>
    <w:rsid w:val="4DD8647F"/>
    <w:rsid w:val="4DDE41D3"/>
    <w:rsid w:val="4DE3E461"/>
    <w:rsid w:val="4E1BA094"/>
    <w:rsid w:val="4E2AC003"/>
    <w:rsid w:val="4E3A69B4"/>
    <w:rsid w:val="4E566F02"/>
    <w:rsid w:val="4E772128"/>
    <w:rsid w:val="4E7C96FE"/>
    <w:rsid w:val="4E7DF0C0"/>
    <w:rsid w:val="4E812133"/>
    <w:rsid w:val="4EA3E3C4"/>
    <w:rsid w:val="4EC867DB"/>
    <w:rsid w:val="4ED5AC1D"/>
    <w:rsid w:val="4EE4B8CA"/>
    <w:rsid w:val="4EF8374D"/>
    <w:rsid w:val="4F04DBD6"/>
    <w:rsid w:val="4F2E8B2F"/>
    <w:rsid w:val="4F46F196"/>
    <w:rsid w:val="4F6EC456"/>
    <w:rsid w:val="4F740A40"/>
    <w:rsid w:val="4F77AFD6"/>
    <w:rsid w:val="4F952FBD"/>
    <w:rsid w:val="4F9AA17B"/>
    <w:rsid w:val="4FBEC33A"/>
    <w:rsid w:val="4FD00015"/>
    <w:rsid w:val="4FFF0476"/>
    <w:rsid w:val="50124B00"/>
    <w:rsid w:val="5034E9E7"/>
    <w:rsid w:val="507C0226"/>
    <w:rsid w:val="50823576"/>
    <w:rsid w:val="50925949"/>
    <w:rsid w:val="5093B586"/>
    <w:rsid w:val="50A0AC37"/>
    <w:rsid w:val="50AC8689"/>
    <w:rsid w:val="50BCF5D4"/>
    <w:rsid w:val="50D78592"/>
    <w:rsid w:val="50E0AF19"/>
    <w:rsid w:val="50E8F34C"/>
    <w:rsid w:val="50FBBFD7"/>
    <w:rsid w:val="511A8895"/>
    <w:rsid w:val="513C5854"/>
    <w:rsid w:val="51509D80"/>
    <w:rsid w:val="51620F1B"/>
    <w:rsid w:val="51D2CFA3"/>
    <w:rsid w:val="51E7E0F1"/>
    <w:rsid w:val="520B54B0"/>
    <w:rsid w:val="520D01F2"/>
    <w:rsid w:val="5214CDA2"/>
    <w:rsid w:val="5217D71C"/>
    <w:rsid w:val="522105EF"/>
    <w:rsid w:val="5254DF25"/>
    <w:rsid w:val="525DDBDF"/>
    <w:rsid w:val="5262A3EC"/>
    <w:rsid w:val="526B7B5A"/>
    <w:rsid w:val="528B5850"/>
    <w:rsid w:val="52C18F8B"/>
    <w:rsid w:val="52C48FBD"/>
    <w:rsid w:val="52E6F294"/>
    <w:rsid w:val="53134E3E"/>
    <w:rsid w:val="532187C8"/>
    <w:rsid w:val="532F896B"/>
    <w:rsid w:val="533B4CDF"/>
    <w:rsid w:val="535806EF"/>
    <w:rsid w:val="5364DFB3"/>
    <w:rsid w:val="5371E441"/>
    <w:rsid w:val="537775FA"/>
    <w:rsid w:val="539B31EF"/>
    <w:rsid w:val="53A23C4A"/>
    <w:rsid w:val="540E3DD6"/>
    <w:rsid w:val="5425AB5B"/>
    <w:rsid w:val="54781AB9"/>
    <w:rsid w:val="547BDF69"/>
    <w:rsid w:val="5493DD09"/>
    <w:rsid w:val="549D003C"/>
    <w:rsid w:val="549F305F"/>
    <w:rsid w:val="54AC5023"/>
    <w:rsid w:val="54BCAC95"/>
    <w:rsid w:val="54BFF152"/>
    <w:rsid w:val="55016BB1"/>
    <w:rsid w:val="5504A70E"/>
    <w:rsid w:val="550F4255"/>
    <w:rsid w:val="5548AFBF"/>
    <w:rsid w:val="5585AF83"/>
    <w:rsid w:val="5599EA1C"/>
    <w:rsid w:val="55A1C718"/>
    <w:rsid w:val="55D5C6BD"/>
    <w:rsid w:val="55EBF4AD"/>
    <w:rsid w:val="55EE8E51"/>
    <w:rsid w:val="561BF542"/>
    <w:rsid w:val="5639AC0F"/>
    <w:rsid w:val="565AB657"/>
    <w:rsid w:val="5671E2EF"/>
    <w:rsid w:val="567BBA22"/>
    <w:rsid w:val="56A548E5"/>
    <w:rsid w:val="56AEC2E2"/>
    <w:rsid w:val="56AED9A1"/>
    <w:rsid w:val="56CB17A5"/>
    <w:rsid w:val="56D40760"/>
    <w:rsid w:val="56E43B75"/>
    <w:rsid w:val="56EDA163"/>
    <w:rsid w:val="56FCECD7"/>
    <w:rsid w:val="57220238"/>
    <w:rsid w:val="5725BDCF"/>
    <w:rsid w:val="573B090C"/>
    <w:rsid w:val="5747D7CE"/>
    <w:rsid w:val="575169FC"/>
    <w:rsid w:val="575EF09D"/>
    <w:rsid w:val="576FF579"/>
    <w:rsid w:val="578D0AA4"/>
    <w:rsid w:val="57926444"/>
    <w:rsid w:val="57B9B280"/>
    <w:rsid w:val="57DFB491"/>
    <w:rsid w:val="5804CEB6"/>
    <w:rsid w:val="580D8A24"/>
    <w:rsid w:val="5810252D"/>
    <w:rsid w:val="582BDA3D"/>
    <w:rsid w:val="5833FE25"/>
    <w:rsid w:val="583B70FA"/>
    <w:rsid w:val="58499A44"/>
    <w:rsid w:val="586F88AF"/>
    <w:rsid w:val="586FDEF8"/>
    <w:rsid w:val="587899BF"/>
    <w:rsid w:val="589BB150"/>
    <w:rsid w:val="58AABE54"/>
    <w:rsid w:val="58AE4555"/>
    <w:rsid w:val="58C780DD"/>
    <w:rsid w:val="58CC647C"/>
    <w:rsid w:val="58D2579F"/>
    <w:rsid w:val="58F50F42"/>
    <w:rsid w:val="59289801"/>
    <w:rsid w:val="593CA4E0"/>
    <w:rsid w:val="5943BABF"/>
    <w:rsid w:val="5947927D"/>
    <w:rsid w:val="594C81F1"/>
    <w:rsid w:val="59543BD5"/>
    <w:rsid w:val="5973680F"/>
    <w:rsid w:val="5974C5F4"/>
    <w:rsid w:val="59AEE5E1"/>
    <w:rsid w:val="59BB25AF"/>
    <w:rsid w:val="5A0906C3"/>
    <w:rsid w:val="5A202F16"/>
    <w:rsid w:val="5A47B94C"/>
    <w:rsid w:val="5A64EA62"/>
    <w:rsid w:val="5A69CD9E"/>
    <w:rsid w:val="5A6CBC1A"/>
    <w:rsid w:val="5A6D4A1A"/>
    <w:rsid w:val="5AB53A3D"/>
    <w:rsid w:val="5AB9FDD6"/>
    <w:rsid w:val="5ABBB7FB"/>
    <w:rsid w:val="5ACA123D"/>
    <w:rsid w:val="5B102FC9"/>
    <w:rsid w:val="5B200C73"/>
    <w:rsid w:val="5B4C7A5C"/>
    <w:rsid w:val="5B704360"/>
    <w:rsid w:val="5BE4778A"/>
    <w:rsid w:val="5BEBB6E4"/>
    <w:rsid w:val="5BFC5E15"/>
    <w:rsid w:val="5C11BD69"/>
    <w:rsid w:val="5C149C0E"/>
    <w:rsid w:val="5C1CA05E"/>
    <w:rsid w:val="5C2255ED"/>
    <w:rsid w:val="5C2463BC"/>
    <w:rsid w:val="5C557986"/>
    <w:rsid w:val="5C8ED0E3"/>
    <w:rsid w:val="5CAE9CE3"/>
    <w:rsid w:val="5CCC0B77"/>
    <w:rsid w:val="5CD202FA"/>
    <w:rsid w:val="5CDDDCB7"/>
    <w:rsid w:val="5D172F69"/>
    <w:rsid w:val="5D17483D"/>
    <w:rsid w:val="5D2E9753"/>
    <w:rsid w:val="5D4282EF"/>
    <w:rsid w:val="5D4BB172"/>
    <w:rsid w:val="5D8CD794"/>
    <w:rsid w:val="5D9CAA76"/>
    <w:rsid w:val="5D9D2823"/>
    <w:rsid w:val="5DA6A3EF"/>
    <w:rsid w:val="5DBB2E9D"/>
    <w:rsid w:val="5DD15979"/>
    <w:rsid w:val="5DE95F10"/>
    <w:rsid w:val="5DFA57F9"/>
    <w:rsid w:val="5E06CAB7"/>
    <w:rsid w:val="5E1A9478"/>
    <w:rsid w:val="5EA49ED2"/>
    <w:rsid w:val="5EC21942"/>
    <w:rsid w:val="5EEAF24E"/>
    <w:rsid w:val="5EEF9205"/>
    <w:rsid w:val="5EEFDF1B"/>
    <w:rsid w:val="5F181C9C"/>
    <w:rsid w:val="5F4F23D0"/>
    <w:rsid w:val="5F57FD62"/>
    <w:rsid w:val="5F5EDB27"/>
    <w:rsid w:val="5FA5CACD"/>
    <w:rsid w:val="5FBBC375"/>
    <w:rsid w:val="5FBCEABE"/>
    <w:rsid w:val="5FD69793"/>
    <w:rsid w:val="6000A78A"/>
    <w:rsid w:val="6010FC3E"/>
    <w:rsid w:val="603E20A8"/>
    <w:rsid w:val="60481A9A"/>
    <w:rsid w:val="608DC6D2"/>
    <w:rsid w:val="608E7085"/>
    <w:rsid w:val="60905958"/>
    <w:rsid w:val="6097E162"/>
    <w:rsid w:val="60C7B0DB"/>
    <w:rsid w:val="60DDA0AD"/>
    <w:rsid w:val="61053897"/>
    <w:rsid w:val="61064FBC"/>
    <w:rsid w:val="613E6B79"/>
    <w:rsid w:val="614D5D7B"/>
    <w:rsid w:val="6162C8BC"/>
    <w:rsid w:val="6194A1FE"/>
    <w:rsid w:val="61C7879D"/>
    <w:rsid w:val="61DAF763"/>
    <w:rsid w:val="61E140E3"/>
    <w:rsid w:val="61E57931"/>
    <w:rsid w:val="622A273B"/>
    <w:rsid w:val="6269B0DE"/>
    <w:rsid w:val="62733EF4"/>
    <w:rsid w:val="627476E4"/>
    <w:rsid w:val="62A75D52"/>
    <w:rsid w:val="62CBC869"/>
    <w:rsid w:val="62D1F861"/>
    <w:rsid w:val="62DFF5F1"/>
    <w:rsid w:val="62F61A30"/>
    <w:rsid w:val="62FA4189"/>
    <w:rsid w:val="63036E7F"/>
    <w:rsid w:val="63049B18"/>
    <w:rsid w:val="630FB85A"/>
    <w:rsid w:val="63278D6D"/>
    <w:rsid w:val="6366CDB2"/>
    <w:rsid w:val="637B0583"/>
    <w:rsid w:val="63B2EB76"/>
    <w:rsid w:val="63BB7252"/>
    <w:rsid w:val="63E38EE0"/>
    <w:rsid w:val="6421B0FA"/>
    <w:rsid w:val="64265737"/>
    <w:rsid w:val="643B295A"/>
    <w:rsid w:val="643C677E"/>
    <w:rsid w:val="6445F9CF"/>
    <w:rsid w:val="644ECF55"/>
    <w:rsid w:val="64512135"/>
    <w:rsid w:val="64567FDB"/>
    <w:rsid w:val="645B1C9B"/>
    <w:rsid w:val="648F3498"/>
    <w:rsid w:val="64B215EE"/>
    <w:rsid w:val="650DA461"/>
    <w:rsid w:val="650F39B9"/>
    <w:rsid w:val="652D111A"/>
    <w:rsid w:val="6542BB2C"/>
    <w:rsid w:val="6553E9AF"/>
    <w:rsid w:val="65E1CD98"/>
    <w:rsid w:val="6611DC9C"/>
    <w:rsid w:val="6623DFBB"/>
    <w:rsid w:val="662896B7"/>
    <w:rsid w:val="662B04F9"/>
    <w:rsid w:val="667792A2"/>
    <w:rsid w:val="6697C21C"/>
    <w:rsid w:val="66AEC03F"/>
    <w:rsid w:val="66BCA513"/>
    <w:rsid w:val="66BF1373"/>
    <w:rsid w:val="66DC99E6"/>
    <w:rsid w:val="66F983EE"/>
    <w:rsid w:val="66FBA3F3"/>
    <w:rsid w:val="67029177"/>
    <w:rsid w:val="67321EFB"/>
    <w:rsid w:val="673E3F22"/>
    <w:rsid w:val="67401876"/>
    <w:rsid w:val="6771CB0E"/>
    <w:rsid w:val="677FF264"/>
    <w:rsid w:val="67AB98E2"/>
    <w:rsid w:val="67B21E34"/>
    <w:rsid w:val="67BC9EFF"/>
    <w:rsid w:val="67CD0671"/>
    <w:rsid w:val="67DF40EB"/>
    <w:rsid w:val="67FD5317"/>
    <w:rsid w:val="6832495B"/>
    <w:rsid w:val="683D7918"/>
    <w:rsid w:val="685587C9"/>
    <w:rsid w:val="686B9AD8"/>
    <w:rsid w:val="6884AAAB"/>
    <w:rsid w:val="688F4C0F"/>
    <w:rsid w:val="68B8F330"/>
    <w:rsid w:val="68BDC581"/>
    <w:rsid w:val="68C617CC"/>
    <w:rsid w:val="68DB5CFE"/>
    <w:rsid w:val="68E75835"/>
    <w:rsid w:val="68EA9653"/>
    <w:rsid w:val="692000E6"/>
    <w:rsid w:val="69300F05"/>
    <w:rsid w:val="694D4EAF"/>
    <w:rsid w:val="6965FED8"/>
    <w:rsid w:val="6975735D"/>
    <w:rsid w:val="697BAFAB"/>
    <w:rsid w:val="69841AA4"/>
    <w:rsid w:val="69A1CECF"/>
    <w:rsid w:val="69E188C7"/>
    <w:rsid w:val="69FE1A0E"/>
    <w:rsid w:val="6A1D6E18"/>
    <w:rsid w:val="6A571571"/>
    <w:rsid w:val="6A78C548"/>
    <w:rsid w:val="6A9C484D"/>
    <w:rsid w:val="6AA2CBB8"/>
    <w:rsid w:val="6AC4A039"/>
    <w:rsid w:val="6AD2A4E4"/>
    <w:rsid w:val="6ADB1764"/>
    <w:rsid w:val="6AFBF40E"/>
    <w:rsid w:val="6B22F74F"/>
    <w:rsid w:val="6B259CBD"/>
    <w:rsid w:val="6B2FF3AD"/>
    <w:rsid w:val="6B528DE6"/>
    <w:rsid w:val="6B565369"/>
    <w:rsid w:val="6B802427"/>
    <w:rsid w:val="6BA0C387"/>
    <w:rsid w:val="6BACD487"/>
    <w:rsid w:val="6BB7FAFE"/>
    <w:rsid w:val="6BD2BF43"/>
    <w:rsid w:val="6BF5C48F"/>
    <w:rsid w:val="6BFC2673"/>
    <w:rsid w:val="6C10B6CC"/>
    <w:rsid w:val="6C36D2D9"/>
    <w:rsid w:val="6C3A822C"/>
    <w:rsid w:val="6C4F5D97"/>
    <w:rsid w:val="6C6E4D5E"/>
    <w:rsid w:val="6C7053FD"/>
    <w:rsid w:val="6C7D5492"/>
    <w:rsid w:val="6C96779E"/>
    <w:rsid w:val="6C98ABC1"/>
    <w:rsid w:val="6CAA67C3"/>
    <w:rsid w:val="6CDE2906"/>
    <w:rsid w:val="6D0ACDB3"/>
    <w:rsid w:val="6D50B7C0"/>
    <w:rsid w:val="6D5E5B70"/>
    <w:rsid w:val="6D8C521F"/>
    <w:rsid w:val="6D9327FA"/>
    <w:rsid w:val="6D98FCD2"/>
    <w:rsid w:val="6D9959B0"/>
    <w:rsid w:val="6DA78D20"/>
    <w:rsid w:val="6DB93526"/>
    <w:rsid w:val="6DBE606F"/>
    <w:rsid w:val="6DCC72D3"/>
    <w:rsid w:val="6DD36BC2"/>
    <w:rsid w:val="6DD4B2C8"/>
    <w:rsid w:val="6E09D0CB"/>
    <w:rsid w:val="6E294F68"/>
    <w:rsid w:val="6E2F0EF2"/>
    <w:rsid w:val="6E35B321"/>
    <w:rsid w:val="6E5D5EBC"/>
    <w:rsid w:val="6E7F38F6"/>
    <w:rsid w:val="6E97B197"/>
    <w:rsid w:val="6E9B9575"/>
    <w:rsid w:val="6EA50A93"/>
    <w:rsid w:val="6EB307E7"/>
    <w:rsid w:val="6EF4C907"/>
    <w:rsid w:val="6F38E56E"/>
    <w:rsid w:val="6F827B5F"/>
    <w:rsid w:val="6F9337E3"/>
    <w:rsid w:val="6FAFE764"/>
    <w:rsid w:val="6FBA2A13"/>
    <w:rsid w:val="6FC643C2"/>
    <w:rsid w:val="6FD22F99"/>
    <w:rsid w:val="6FD94DDD"/>
    <w:rsid w:val="6FFE97D6"/>
    <w:rsid w:val="70084946"/>
    <w:rsid w:val="700C402A"/>
    <w:rsid w:val="70124D77"/>
    <w:rsid w:val="703DD6C8"/>
    <w:rsid w:val="704ADF63"/>
    <w:rsid w:val="7075FF9F"/>
    <w:rsid w:val="707741BA"/>
    <w:rsid w:val="70817E0D"/>
    <w:rsid w:val="70984E1A"/>
    <w:rsid w:val="70BD160A"/>
    <w:rsid w:val="70E70BA5"/>
    <w:rsid w:val="7136D890"/>
    <w:rsid w:val="713D20C5"/>
    <w:rsid w:val="71B6D8DD"/>
    <w:rsid w:val="71BC72DD"/>
    <w:rsid w:val="71BDA6EE"/>
    <w:rsid w:val="71C42658"/>
    <w:rsid w:val="71E1CD66"/>
    <w:rsid w:val="71F69143"/>
    <w:rsid w:val="71F6B358"/>
    <w:rsid w:val="7201ED68"/>
    <w:rsid w:val="722B38BE"/>
    <w:rsid w:val="722E3EE6"/>
    <w:rsid w:val="723E225F"/>
    <w:rsid w:val="72465CF4"/>
    <w:rsid w:val="72539203"/>
    <w:rsid w:val="7274EA97"/>
    <w:rsid w:val="7276C974"/>
    <w:rsid w:val="728CA649"/>
    <w:rsid w:val="72930015"/>
    <w:rsid w:val="72DC2874"/>
    <w:rsid w:val="72E54759"/>
    <w:rsid w:val="72F1F842"/>
    <w:rsid w:val="72F356F7"/>
    <w:rsid w:val="72F9B187"/>
    <w:rsid w:val="730DA211"/>
    <w:rsid w:val="733EA04D"/>
    <w:rsid w:val="7349D61B"/>
    <w:rsid w:val="735CCAFA"/>
    <w:rsid w:val="7406564B"/>
    <w:rsid w:val="741129FF"/>
    <w:rsid w:val="74267C58"/>
    <w:rsid w:val="742F0D07"/>
    <w:rsid w:val="747CC682"/>
    <w:rsid w:val="74A2856B"/>
    <w:rsid w:val="74ABB156"/>
    <w:rsid w:val="74BB030F"/>
    <w:rsid w:val="74D22530"/>
    <w:rsid w:val="7529F11F"/>
    <w:rsid w:val="752B97B7"/>
    <w:rsid w:val="752CEE56"/>
    <w:rsid w:val="755233DC"/>
    <w:rsid w:val="7594AD1B"/>
    <w:rsid w:val="75A8DA7D"/>
    <w:rsid w:val="75BB3F12"/>
    <w:rsid w:val="761D0EE5"/>
    <w:rsid w:val="762B5983"/>
    <w:rsid w:val="76618FB0"/>
    <w:rsid w:val="76F65E1C"/>
    <w:rsid w:val="77030C82"/>
    <w:rsid w:val="77118700"/>
    <w:rsid w:val="7729475D"/>
    <w:rsid w:val="774749DA"/>
    <w:rsid w:val="7788AB73"/>
    <w:rsid w:val="77AFD421"/>
    <w:rsid w:val="77CD4E8C"/>
    <w:rsid w:val="77D69E69"/>
    <w:rsid w:val="77DFE0F8"/>
    <w:rsid w:val="77ED5FFB"/>
    <w:rsid w:val="77EE7C9A"/>
    <w:rsid w:val="780EEA9F"/>
    <w:rsid w:val="782022AA"/>
    <w:rsid w:val="7824B219"/>
    <w:rsid w:val="783C3BAA"/>
    <w:rsid w:val="783FEF1D"/>
    <w:rsid w:val="789E6B5D"/>
    <w:rsid w:val="78A0ABCB"/>
    <w:rsid w:val="78C637C4"/>
    <w:rsid w:val="78F5C0DC"/>
    <w:rsid w:val="78F6C8BB"/>
    <w:rsid w:val="7920BBF2"/>
    <w:rsid w:val="79252074"/>
    <w:rsid w:val="7933BD31"/>
    <w:rsid w:val="793C3F78"/>
    <w:rsid w:val="79476423"/>
    <w:rsid w:val="794A9C31"/>
    <w:rsid w:val="79C8B625"/>
    <w:rsid w:val="79D6C524"/>
    <w:rsid w:val="79E97433"/>
    <w:rsid w:val="79F2AE18"/>
    <w:rsid w:val="79F90EB8"/>
    <w:rsid w:val="7A024B4B"/>
    <w:rsid w:val="7A06AC32"/>
    <w:rsid w:val="7A12468E"/>
    <w:rsid w:val="7A162103"/>
    <w:rsid w:val="7A327D72"/>
    <w:rsid w:val="7A330E6C"/>
    <w:rsid w:val="7A36DC4A"/>
    <w:rsid w:val="7A3C7C2C"/>
    <w:rsid w:val="7A4800FF"/>
    <w:rsid w:val="7A63B3E6"/>
    <w:rsid w:val="7A70E1B4"/>
    <w:rsid w:val="7A759CBC"/>
    <w:rsid w:val="7A75DEC0"/>
    <w:rsid w:val="7A7F2F16"/>
    <w:rsid w:val="7A808F30"/>
    <w:rsid w:val="7A84DFAC"/>
    <w:rsid w:val="7ACF0005"/>
    <w:rsid w:val="7AD4B0B8"/>
    <w:rsid w:val="7ADEA75B"/>
    <w:rsid w:val="7AFBC499"/>
    <w:rsid w:val="7B2441D6"/>
    <w:rsid w:val="7B38D5D3"/>
    <w:rsid w:val="7BC03F77"/>
    <w:rsid w:val="7BEF347C"/>
    <w:rsid w:val="7BF2C2D4"/>
    <w:rsid w:val="7C034739"/>
    <w:rsid w:val="7C1FD3A7"/>
    <w:rsid w:val="7C223BAA"/>
    <w:rsid w:val="7C3CD68C"/>
    <w:rsid w:val="7C70C491"/>
    <w:rsid w:val="7CA9174D"/>
    <w:rsid w:val="7CB179AD"/>
    <w:rsid w:val="7CB7E807"/>
    <w:rsid w:val="7CC95320"/>
    <w:rsid w:val="7CDB09E9"/>
    <w:rsid w:val="7D4BDA6D"/>
    <w:rsid w:val="7D578A1F"/>
    <w:rsid w:val="7D5F02AE"/>
    <w:rsid w:val="7D76F295"/>
    <w:rsid w:val="7D881314"/>
    <w:rsid w:val="7DAD1EB5"/>
    <w:rsid w:val="7E06A0C7"/>
    <w:rsid w:val="7E0D7D23"/>
    <w:rsid w:val="7E1356B8"/>
    <w:rsid w:val="7E149EDC"/>
    <w:rsid w:val="7E1D4EE1"/>
    <w:rsid w:val="7E54294E"/>
    <w:rsid w:val="7E56B61D"/>
    <w:rsid w:val="7E5F4059"/>
    <w:rsid w:val="7E6CA3EF"/>
    <w:rsid w:val="7E87CBDF"/>
    <w:rsid w:val="7E8ED30B"/>
    <w:rsid w:val="7EC4AF64"/>
    <w:rsid w:val="7F0645E0"/>
    <w:rsid w:val="7F136639"/>
    <w:rsid w:val="7F143343"/>
    <w:rsid w:val="7F254545"/>
    <w:rsid w:val="7F3C9DEC"/>
    <w:rsid w:val="7F4B6778"/>
    <w:rsid w:val="7F4E1D0B"/>
    <w:rsid w:val="7F4E90A0"/>
    <w:rsid w:val="7F57E2DF"/>
    <w:rsid w:val="7F6F4009"/>
    <w:rsid w:val="7F7B7E61"/>
    <w:rsid w:val="7FA94D84"/>
    <w:rsid w:val="7FB8805B"/>
    <w:rsid w:val="7FC68F1F"/>
    <w:rsid w:val="7FFC091B"/>
    <w:rsid w:val="7FFD654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ECCB4"/>
  <w15:docId w15:val="{123C8466-0ECB-4331-A5AA-E0415078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EastAsia" w:hAnsi="Raleway"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886"/>
    <w:pPr>
      <w:spacing w:before="240" w:line="276" w:lineRule="auto"/>
    </w:pPr>
  </w:style>
  <w:style w:type="paragraph" w:styleId="Heading1">
    <w:name w:val="heading 1"/>
    <w:basedOn w:val="Normal"/>
    <w:next w:val="Normal"/>
    <w:link w:val="Heading1Char"/>
    <w:autoRedefine/>
    <w:uiPriority w:val="9"/>
    <w:qFormat/>
    <w:rsid w:val="00AA5ACE"/>
    <w:pPr>
      <w:keepNext/>
      <w:keepLines/>
      <w:numPr>
        <w:numId w:val="48"/>
      </w:numPr>
      <w:spacing w:after="240" w:line="240" w:lineRule="auto"/>
      <w:outlineLvl w:val="0"/>
    </w:pPr>
    <w:rPr>
      <w:rFonts w:eastAsiaTheme="majorEastAsia" w:cstheme="majorBidi"/>
      <w:b/>
      <w:bCs/>
      <w:color w:val="005160" w:themeColor="text2" w:themeShade="BF"/>
      <w:sz w:val="36"/>
      <w:szCs w:val="20"/>
      <w:lang w:eastAsia="en-CA"/>
    </w:rPr>
  </w:style>
  <w:style w:type="paragraph" w:styleId="Heading2">
    <w:name w:val="heading 2"/>
    <w:basedOn w:val="Normal"/>
    <w:next w:val="Normal"/>
    <w:link w:val="Heading2Char"/>
    <w:autoRedefine/>
    <w:uiPriority w:val="9"/>
    <w:unhideWhenUsed/>
    <w:qFormat/>
    <w:rsid w:val="006F3345"/>
    <w:pPr>
      <w:keepNext/>
      <w:keepLines/>
      <w:tabs>
        <w:tab w:val="left" w:pos="8190"/>
      </w:tabs>
      <w:spacing w:before="120" w:after="120" w:line="240" w:lineRule="auto"/>
      <w:outlineLvl w:val="1"/>
    </w:pPr>
    <w:rPr>
      <w:rFonts w:eastAsiaTheme="majorEastAsia" w:cstheme="majorBidi"/>
      <w:b/>
      <w:bCs/>
      <w:smallCaps/>
      <w:color w:val="006E81" w:themeColor="text2"/>
      <w:sz w:val="28"/>
      <w:szCs w:val="28"/>
    </w:rPr>
  </w:style>
  <w:style w:type="paragraph" w:styleId="Heading3">
    <w:name w:val="heading 3"/>
    <w:basedOn w:val="Normal"/>
    <w:next w:val="Normal"/>
    <w:link w:val="Heading3Char"/>
    <w:autoRedefine/>
    <w:uiPriority w:val="9"/>
    <w:unhideWhenUsed/>
    <w:qFormat/>
    <w:rsid w:val="0075412A"/>
    <w:pPr>
      <w:numPr>
        <w:numId w:val="60"/>
      </w:numPr>
      <w:spacing w:after="240" w:line="240" w:lineRule="auto"/>
      <w:ind w:left="360"/>
      <w:outlineLvl w:val="2"/>
    </w:pPr>
    <w:rPr>
      <w:rFonts w:eastAsiaTheme="majorEastAsia" w:cstheme="majorBidi"/>
      <w:b/>
      <w:bCs/>
      <w:color w:val="006E81" w:themeColor="text2"/>
      <w:szCs w:val="24"/>
      <w:lang w:eastAsia="en-CA"/>
    </w:rPr>
  </w:style>
  <w:style w:type="paragraph" w:styleId="Heading4">
    <w:name w:val="heading 4"/>
    <w:basedOn w:val="Normal"/>
    <w:next w:val="Normal"/>
    <w:link w:val="Heading4Char"/>
    <w:uiPriority w:val="9"/>
    <w:unhideWhenUsed/>
    <w:qFormat/>
    <w:rsid w:val="00916836"/>
    <w:pPr>
      <w:keepNext/>
      <w:keepLines/>
      <w:numPr>
        <w:ilvl w:val="3"/>
        <w:numId w:val="6"/>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C68E1"/>
    <w:pPr>
      <w:keepNext/>
      <w:keepLines/>
      <w:numPr>
        <w:ilvl w:val="4"/>
        <w:numId w:val="6"/>
      </w:numPr>
      <w:spacing w:before="200" w:after="0"/>
      <w:outlineLvl w:val="4"/>
    </w:pPr>
    <w:rPr>
      <w:rFonts w:asciiTheme="majorHAnsi" w:eastAsiaTheme="majorEastAsia" w:hAnsiTheme="majorHAnsi" w:cstheme="majorBidi"/>
      <w:color w:val="005160" w:themeColor="text2" w:themeShade="BF"/>
    </w:rPr>
  </w:style>
  <w:style w:type="paragraph" w:styleId="Heading6">
    <w:name w:val="heading 6"/>
    <w:basedOn w:val="Normal"/>
    <w:next w:val="Normal"/>
    <w:link w:val="Heading6Char"/>
    <w:uiPriority w:val="9"/>
    <w:unhideWhenUsed/>
    <w:qFormat/>
    <w:rsid w:val="007C68E1"/>
    <w:pPr>
      <w:keepNext/>
      <w:keepLines/>
      <w:numPr>
        <w:ilvl w:val="5"/>
        <w:numId w:val="6"/>
      </w:numPr>
      <w:spacing w:before="200" w:after="0"/>
      <w:outlineLvl w:val="5"/>
    </w:pPr>
    <w:rPr>
      <w:rFonts w:asciiTheme="majorHAnsi" w:eastAsiaTheme="majorEastAsia" w:hAnsiTheme="majorHAnsi" w:cstheme="majorBidi"/>
      <w:i/>
      <w:iCs/>
      <w:color w:val="005160" w:themeColor="text2" w:themeShade="BF"/>
    </w:rPr>
  </w:style>
  <w:style w:type="paragraph" w:styleId="Heading7">
    <w:name w:val="heading 7"/>
    <w:basedOn w:val="Normal"/>
    <w:next w:val="Normal"/>
    <w:link w:val="Heading7Char"/>
    <w:uiPriority w:val="9"/>
    <w:unhideWhenUsed/>
    <w:qFormat/>
    <w:rsid w:val="007C68E1"/>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68E1"/>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68E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ACE"/>
    <w:rPr>
      <w:rFonts w:eastAsiaTheme="majorEastAsia" w:cstheme="majorBidi"/>
      <w:b/>
      <w:bCs/>
      <w:color w:val="005160" w:themeColor="text2" w:themeShade="BF"/>
      <w:sz w:val="36"/>
      <w:szCs w:val="20"/>
      <w:lang w:eastAsia="en-CA"/>
    </w:rPr>
  </w:style>
  <w:style w:type="character" w:customStyle="1" w:styleId="Heading2Char">
    <w:name w:val="Heading 2 Char"/>
    <w:basedOn w:val="DefaultParagraphFont"/>
    <w:link w:val="Heading2"/>
    <w:uiPriority w:val="9"/>
    <w:rsid w:val="006F3345"/>
    <w:rPr>
      <w:rFonts w:eastAsiaTheme="majorEastAsia" w:cstheme="majorBidi"/>
      <w:b/>
      <w:bCs/>
      <w:smallCaps/>
      <w:color w:val="006E81" w:themeColor="text2"/>
      <w:sz w:val="28"/>
      <w:szCs w:val="28"/>
    </w:rPr>
  </w:style>
  <w:style w:type="paragraph" w:styleId="ListBullet">
    <w:name w:val="List Bullet"/>
    <w:basedOn w:val="Normal"/>
    <w:uiPriority w:val="99"/>
    <w:unhideWhenUsed/>
    <w:rsid w:val="00332140"/>
    <w:pPr>
      <w:numPr>
        <w:numId w:val="3"/>
      </w:numPr>
      <w:contextualSpacing/>
    </w:pPr>
  </w:style>
  <w:style w:type="paragraph" w:styleId="ListBullet2">
    <w:name w:val="List Bullet 2"/>
    <w:basedOn w:val="Normal"/>
    <w:autoRedefine/>
    <w:rsid w:val="00D206CE"/>
    <w:pPr>
      <w:numPr>
        <w:numId w:val="2"/>
      </w:numPr>
      <w:spacing w:before="120" w:after="240"/>
      <w:contextualSpacing/>
    </w:pPr>
    <w:rPr>
      <w:rFonts w:eastAsia="Times New Roman" w:cs="Arial"/>
      <w:color w:val="000000"/>
      <w:szCs w:val="24"/>
      <w:lang w:eastAsia="en-CA"/>
    </w:rPr>
  </w:style>
  <w:style w:type="paragraph" w:styleId="ListBullet3">
    <w:name w:val="List Bullet 3"/>
    <w:basedOn w:val="Normal"/>
    <w:autoRedefine/>
    <w:uiPriority w:val="99"/>
    <w:unhideWhenUsed/>
    <w:rsid w:val="00ED290A"/>
    <w:pPr>
      <w:framePr w:hSpace="180" w:wrap="around" w:vAnchor="text" w:hAnchor="margin" w:y="232"/>
      <w:numPr>
        <w:numId w:val="7"/>
      </w:numPr>
      <w:spacing w:after="120" w:line="240" w:lineRule="auto"/>
    </w:pPr>
    <w:rPr>
      <w:rFonts w:eastAsia="Times New Roman" w:cs="Arial"/>
      <w:color w:val="000000"/>
      <w:szCs w:val="24"/>
      <w:lang w:eastAsia="en-CA"/>
    </w:rPr>
  </w:style>
  <w:style w:type="paragraph" w:customStyle="1" w:styleId="ListBullet1">
    <w:name w:val="List Bullet 1"/>
    <w:basedOn w:val="ListParagraph"/>
    <w:autoRedefine/>
    <w:rsid w:val="00D11D26"/>
    <w:pPr>
      <w:numPr>
        <w:ilvl w:val="1"/>
        <w:numId w:val="1"/>
      </w:numPr>
    </w:pPr>
  </w:style>
  <w:style w:type="paragraph" w:styleId="ListParagraph">
    <w:name w:val="List Paragraph"/>
    <w:aliases w:val="Lettre d'introduction,List Paragraph1,Indented Paragraph,Bullet List 1,Unordered List Level 1,Heading 4 test,MOU List Number i,kern at 14 pt,Bullet list,Subhead Paragraph,Contents Page,Bullet,Indented Paragra,table bullets"/>
    <w:basedOn w:val="Normal"/>
    <w:link w:val="ListParagraphChar"/>
    <w:uiPriority w:val="34"/>
    <w:qFormat/>
    <w:rsid w:val="00355099"/>
    <w:pPr>
      <w:ind w:left="720"/>
      <w:contextualSpacing/>
    </w:pPr>
  </w:style>
  <w:style w:type="character" w:customStyle="1" w:styleId="Heading3Char">
    <w:name w:val="Heading 3 Char"/>
    <w:basedOn w:val="DefaultParagraphFont"/>
    <w:link w:val="Heading3"/>
    <w:uiPriority w:val="9"/>
    <w:rsid w:val="0075412A"/>
    <w:rPr>
      <w:rFonts w:eastAsiaTheme="majorEastAsia" w:cstheme="majorBidi"/>
      <w:b/>
      <w:bCs/>
      <w:color w:val="006E81" w:themeColor="text2"/>
      <w:szCs w:val="24"/>
      <w:lang w:eastAsia="en-CA"/>
    </w:rPr>
  </w:style>
  <w:style w:type="character" w:customStyle="1" w:styleId="Heading4Char">
    <w:name w:val="Heading 4 Char"/>
    <w:basedOn w:val="DefaultParagraphFont"/>
    <w:link w:val="Heading4"/>
    <w:uiPriority w:val="9"/>
    <w:rsid w:val="007C68E1"/>
    <w:rPr>
      <w:rFonts w:asciiTheme="majorHAnsi" w:eastAsiaTheme="majorEastAsia" w:hAnsiTheme="majorHAnsi" w:cstheme="majorBidi"/>
      <w:b/>
      <w:bCs/>
      <w:i/>
      <w:iCs/>
    </w:rPr>
  </w:style>
  <w:style w:type="paragraph" w:styleId="Title">
    <w:name w:val="Title"/>
    <w:basedOn w:val="Normal"/>
    <w:next w:val="Normal"/>
    <w:link w:val="TitleChar"/>
    <w:qFormat/>
    <w:rsid w:val="002B431E"/>
    <w:pPr>
      <w:spacing w:after="0" w:line="240" w:lineRule="auto"/>
      <w:contextualSpacing/>
    </w:pPr>
    <w:rPr>
      <w:rFonts w:asciiTheme="majorHAnsi" w:eastAsiaTheme="majorEastAsia" w:hAnsiTheme="majorHAnsi" w:cstheme="majorBidi"/>
      <w:color w:val="003740" w:themeColor="text2" w:themeShade="80"/>
      <w:sz w:val="72"/>
      <w:szCs w:val="56"/>
    </w:rPr>
  </w:style>
  <w:style w:type="character" w:customStyle="1" w:styleId="TitleChar">
    <w:name w:val="Title Char"/>
    <w:basedOn w:val="DefaultParagraphFont"/>
    <w:link w:val="Title"/>
    <w:rsid w:val="002B431E"/>
    <w:rPr>
      <w:rFonts w:asciiTheme="majorHAnsi" w:eastAsiaTheme="majorEastAsia" w:hAnsiTheme="majorHAnsi" w:cstheme="majorBidi"/>
      <w:color w:val="003740" w:themeColor="text2" w:themeShade="80"/>
      <w:sz w:val="72"/>
      <w:szCs w:val="56"/>
    </w:rPr>
  </w:style>
  <w:style w:type="paragraph" w:styleId="Subtitle">
    <w:name w:val="Subtitle"/>
    <w:basedOn w:val="Normal"/>
    <w:next w:val="Normal"/>
    <w:link w:val="SubtitleChar"/>
    <w:uiPriority w:val="11"/>
    <w:qFormat/>
    <w:rsid w:val="007C68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C68E1"/>
    <w:rPr>
      <w:color w:val="5A5A5A" w:themeColor="text1" w:themeTint="A5"/>
      <w:spacing w:val="10"/>
    </w:rPr>
  </w:style>
  <w:style w:type="paragraph" w:customStyle="1" w:styleId="Text">
    <w:name w:val="Text"/>
    <w:basedOn w:val="Normal"/>
    <w:link w:val="TextChar"/>
    <w:rsid w:val="00D53DAC"/>
  </w:style>
  <w:style w:type="paragraph" w:styleId="Header">
    <w:name w:val="header"/>
    <w:basedOn w:val="Normal"/>
    <w:link w:val="HeaderChar"/>
    <w:uiPriority w:val="99"/>
    <w:unhideWhenUsed/>
    <w:rsid w:val="0034216B"/>
    <w:pPr>
      <w:tabs>
        <w:tab w:val="center" w:pos="4680"/>
        <w:tab w:val="right" w:pos="9360"/>
      </w:tabs>
      <w:ind w:hanging="5"/>
    </w:pPr>
    <w:rPr>
      <w:rFonts w:eastAsia="Times New Roman" w:cs="Arial"/>
      <w:color w:val="000000"/>
      <w:szCs w:val="24"/>
      <w:lang w:eastAsia="en-CA"/>
    </w:rPr>
  </w:style>
  <w:style w:type="character" w:customStyle="1" w:styleId="HeaderChar">
    <w:name w:val="Header Char"/>
    <w:basedOn w:val="DefaultParagraphFont"/>
    <w:link w:val="Header"/>
    <w:uiPriority w:val="99"/>
    <w:rsid w:val="0034216B"/>
    <w:rPr>
      <w:rFonts w:ascii="Arial" w:hAnsi="Arial" w:cs="Arial"/>
      <w:color w:val="000000"/>
      <w:sz w:val="24"/>
      <w:szCs w:val="24"/>
      <w:lang w:val="fr-CA" w:eastAsia="en-CA"/>
    </w:rPr>
  </w:style>
  <w:style w:type="paragraph" w:styleId="Footer">
    <w:name w:val="footer"/>
    <w:basedOn w:val="Normal"/>
    <w:link w:val="FooterChar"/>
    <w:uiPriority w:val="99"/>
    <w:unhideWhenUsed/>
    <w:rsid w:val="0034216B"/>
    <w:pPr>
      <w:tabs>
        <w:tab w:val="center" w:pos="4680"/>
        <w:tab w:val="right" w:pos="9360"/>
      </w:tabs>
      <w:ind w:hanging="5"/>
    </w:pPr>
    <w:rPr>
      <w:rFonts w:eastAsia="Times New Roman" w:cs="Arial"/>
      <w:color w:val="000000"/>
      <w:szCs w:val="24"/>
      <w:lang w:eastAsia="en-CA"/>
    </w:rPr>
  </w:style>
  <w:style w:type="character" w:customStyle="1" w:styleId="FooterChar">
    <w:name w:val="Footer Char"/>
    <w:basedOn w:val="DefaultParagraphFont"/>
    <w:link w:val="Footer"/>
    <w:uiPriority w:val="99"/>
    <w:rsid w:val="0034216B"/>
    <w:rPr>
      <w:rFonts w:ascii="Arial" w:hAnsi="Arial" w:cs="Arial"/>
      <w:color w:val="000000"/>
      <w:sz w:val="24"/>
      <w:szCs w:val="24"/>
      <w:lang w:val="fr-CA" w:eastAsia="en-CA"/>
    </w:rPr>
  </w:style>
  <w:style w:type="paragraph" w:styleId="BalloonText">
    <w:name w:val="Balloon Text"/>
    <w:basedOn w:val="Normal"/>
    <w:link w:val="BalloonTextChar"/>
    <w:uiPriority w:val="99"/>
    <w:semiHidden/>
    <w:unhideWhenUsed/>
    <w:rsid w:val="0034216B"/>
    <w:pPr>
      <w:ind w:hanging="5"/>
    </w:pPr>
    <w:rPr>
      <w:rFonts w:ascii="Tahoma" w:eastAsia="Times New Roman" w:hAnsi="Tahoma" w:cs="Tahoma"/>
      <w:color w:val="000000"/>
      <w:sz w:val="16"/>
      <w:szCs w:val="16"/>
      <w:lang w:eastAsia="en-CA"/>
    </w:rPr>
  </w:style>
  <w:style w:type="character" w:customStyle="1" w:styleId="BalloonTextChar">
    <w:name w:val="Balloon Text Char"/>
    <w:basedOn w:val="DefaultParagraphFont"/>
    <w:link w:val="BalloonText"/>
    <w:uiPriority w:val="99"/>
    <w:semiHidden/>
    <w:rsid w:val="0034216B"/>
    <w:rPr>
      <w:rFonts w:ascii="Tahoma" w:hAnsi="Tahoma" w:cs="Tahoma"/>
      <w:color w:val="000000"/>
      <w:sz w:val="16"/>
      <w:szCs w:val="16"/>
      <w:lang w:val="fr-CA" w:eastAsia="en-CA"/>
    </w:rPr>
  </w:style>
  <w:style w:type="character" w:styleId="PlaceholderText">
    <w:name w:val="Placeholder Text"/>
    <w:basedOn w:val="DefaultParagraphFont"/>
    <w:uiPriority w:val="99"/>
    <w:semiHidden/>
    <w:rsid w:val="0034216B"/>
    <w:rPr>
      <w:color w:val="808080"/>
    </w:rPr>
  </w:style>
  <w:style w:type="table" w:styleId="TableGrid">
    <w:name w:val="Table Grid"/>
    <w:basedOn w:val="TableNormal"/>
    <w:uiPriority w:val="59"/>
    <w:rsid w:val="0034216B"/>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34216B"/>
    <w:rPr>
      <w:b/>
    </w:rPr>
  </w:style>
  <w:style w:type="paragraph" w:customStyle="1" w:styleId="DateTime">
    <w:name w:val="Date &amp; Time"/>
    <w:basedOn w:val="Normal"/>
    <w:rsid w:val="0034216B"/>
    <w:pPr>
      <w:spacing w:after="300"/>
      <w:contextualSpacing/>
    </w:pPr>
    <w:rPr>
      <w:rFonts w:eastAsiaTheme="minorHAnsi"/>
    </w:rPr>
  </w:style>
  <w:style w:type="paragraph" w:customStyle="1" w:styleId="AgendaInformation">
    <w:name w:val="Agenda Information"/>
    <w:basedOn w:val="Normal"/>
    <w:rsid w:val="0034216B"/>
    <w:pPr>
      <w:spacing w:after="600" w:line="336" w:lineRule="auto"/>
      <w:contextualSpacing/>
    </w:pPr>
    <w:rPr>
      <w:rFonts w:eastAsiaTheme="minorHAnsi"/>
    </w:rPr>
  </w:style>
  <w:style w:type="paragraph" w:customStyle="1" w:styleId="Event">
    <w:name w:val="Event"/>
    <w:basedOn w:val="Normal"/>
    <w:rsid w:val="0034216B"/>
    <w:pPr>
      <w:spacing w:after="80"/>
    </w:pPr>
    <w:rPr>
      <w:rFonts w:eastAsiaTheme="minorHAnsi"/>
    </w:rPr>
  </w:style>
  <w:style w:type="paragraph" w:customStyle="1" w:styleId="AdditionalInformation">
    <w:name w:val="Additional Information"/>
    <w:basedOn w:val="AgendaInformation"/>
    <w:rsid w:val="0034216B"/>
    <w:pPr>
      <w:spacing w:after="120"/>
      <w:contextualSpacing w:val="0"/>
    </w:pPr>
  </w:style>
  <w:style w:type="paragraph" w:customStyle="1" w:styleId="BusinessStream">
    <w:name w:val="Business Stream"/>
    <w:basedOn w:val="Normal"/>
    <w:link w:val="BusinessStreamChar"/>
    <w:rsid w:val="004D0059"/>
    <w:pPr>
      <w:outlineLvl w:val="1"/>
    </w:pPr>
    <w:rPr>
      <w:rFonts w:eastAsiaTheme="minorHAnsi"/>
      <w:b/>
      <w:color w:val="006E81"/>
      <w:sz w:val="32"/>
    </w:rPr>
  </w:style>
  <w:style w:type="paragraph" w:customStyle="1" w:styleId="BranchDivision">
    <w:name w:val="Branch/Division"/>
    <w:basedOn w:val="Normal"/>
    <w:link w:val="BranchDivisionChar"/>
    <w:rsid w:val="00A31166"/>
    <w:pPr>
      <w:spacing w:after="360"/>
    </w:pPr>
    <w:rPr>
      <w:color w:val="4C4C4E"/>
      <w:sz w:val="28"/>
      <w:szCs w:val="28"/>
    </w:rPr>
  </w:style>
  <w:style w:type="character" w:customStyle="1" w:styleId="BranchDivisionChar">
    <w:name w:val="Branch/Division Char"/>
    <w:basedOn w:val="DefaultParagraphFont"/>
    <w:link w:val="BranchDivision"/>
    <w:rsid w:val="00A31166"/>
    <w:rPr>
      <w:rFonts w:ascii="Arial" w:eastAsia="Calibri" w:hAnsi="Arial" w:cs="Times New Roman"/>
      <w:color w:val="4C4C4E"/>
      <w:sz w:val="28"/>
      <w:szCs w:val="28"/>
    </w:rPr>
  </w:style>
  <w:style w:type="character" w:styleId="IntenseReference">
    <w:name w:val="Intense Reference"/>
    <w:basedOn w:val="DefaultParagraphFont"/>
    <w:uiPriority w:val="32"/>
    <w:qFormat/>
    <w:rsid w:val="007C68E1"/>
    <w:rPr>
      <w:b/>
      <w:bCs/>
      <w:smallCaps/>
      <w:u w:val="single"/>
    </w:rPr>
  </w:style>
  <w:style w:type="character" w:styleId="SubtleReference">
    <w:name w:val="Subtle Reference"/>
    <w:basedOn w:val="DefaultParagraphFont"/>
    <w:uiPriority w:val="31"/>
    <w:qFormat/>
    <w:rsid w:val="007C68E1"/>
    <w:rPr>
      <w:smallCaps/>
      <w:color w:val="404040" w:themeColor="text1" w:themeTint="BF"/>
      <w:u w:val="single" w:color="7F7F7F" w:themeColor="text1" w:themeTint="80"/>
    </w:rPr>
  </w:style>
  <w:style w:type="character" w:customStyle="1" w:styleId="BusinessStreamChar">
    <w:name w:val="Business Stream Char"/>
    <w:link w:val="BusinessStream"/>
    <w:rsid w:val="004D0059"/>
    <w:rPr>
      <w:rFonts w:ascii="Arial" w:eastAsiaTheme="minorHAnsi" w:hAnsi="Arial"/>
      <w:b/>
      <w:color w:val="006E81"/>
      <w:sz w:val="32"/>
      <w:lang w:val="fr-CA"/>
    </w:rPr>
  </w:style>
  <w:style w:type="paragraph" w:customStyle="1" w:styleId="DivisionBranch">
    <w:name w:val="Division/Branch"/>
    <w:basedOn w:val="BusinessStream"/>
    <w:link w:val="DivisionBranchChar"/>
    <w:rsid w:val="00093024"/>
    <w:pPr>
      <w:spacing w:after="360"/>
      <w:outlineLvl w:val="9"/>
    </w:pPr>
    <w:rPr>
      <w:rFonts w:eastAsia="Calibri" w:cs="Times New Roman"/>
      <w:b w:val="0"/>
      <w:color w:val="000000" w:themeColor="text1"/>
      <w:sz w:val="28"/>
      <w:szCs w:val="28"/>
    </w:rPr>
  </w:style>
  <w:style w:type="character" w:customStyle="1" w:styleId="DivisionBranchChar">
    <w:name w:val="Division/Branch Char"/>
    <w:basedOn w:val="BusinessStreamChar"/>
    <w:link w:val="DivisionBranch"/>
    <w:rsid w:val="00093024"/>
    <w:rPr>
      <w:rFonts w:ascii="Arial" w:eastAsia="Calibri" w:hAnsi="Arial" w:cs="Times New Roman"/>
      <w:b w:val="0"/>
      <w:color w:val="000000" w:themeColor="text1"/>
      <w:sz w:val="28"/>
      <w:szCs w:val="28"/>
      <w:lang w:val="fr-CA"/>
    </w:rPr>
  </w:style>
  <w:style w:type="character" w:styleId="Emphasis">
    <w:name w:val="Emphasis"/>
    <w:basedOn w:val="DefaultParagraphFont"/>
    <w:uiPriority w:val="20"/>
    <w:qFormat/>
    <w:rsid w:val="007C68E1"/>
    <w:rPr>
      <w:i/>
      <w:iCs/>
      <w:color w:val="auto"/>
    </w:rPr>
  </w:style>
  <w:style w:type="character" w:customStyle="1" w:styleId="Heading5Char">
    <w:name w:val="Heading 5 Char"/>
    <w:basedOn w:val="DefaultParagraphFont"/>
    <w:link w:val="Heading5"/>
    <w:uiPriority w:val="9"/>
    <w:rsid w:val="007C68E1"/>
    <w:rPr>
      <w:rFonts w:asciiTheme="majorHAnsi" w:eastAsiaTheme="majorEastAsia" w:hAnsiTheme="majorHAnsi" w:cstheme="majorBidi"/>
      <w:color w:val="005160" w:themeColor="text2" w:themeShade="BF"/>
    </w:rPr>
  </w:style>
  <w:style w:type="paragraph" w:styleId="ListNumber">
    <w:name w:val="List Number"/>
    <w:basedOn w:val="ListBullet"/>
    <w:uiPriority w:val="99"/>
    <w:unhideWhenUsed/>
    <w:rsid w:val="00332140"/>
    <w:pPr>
      <w:numPr>
        <w:numId w:val="4"/>
      </w:numPr>
      <w:spacing w:before="120"/>
    </w:pPr>
  </w:style>
  <w:style w:type="character" w:customStyle="1" w:styleId="ListParagraphChar">
    <w:name w:val="List Paragraph Char"/>
    <w:aliases w:val="Lettre d'introduction Char,List Paragraph1 Char,Indented Paragraph Char,Bullet List 1 Char,Unordered List Level 1 Char,Heading 4 test Char,MOU List Number i Char,kern at 14 pt Char,Bullet list Char,Subhead Paragraph Char,Bullet Char"/>
    <w:basedOn w:val="DefaultParagraphFont"/>
    <w:link w:val="ListParagraph"/>
    <w:uiPriority w:val="34"/>
    <w:qFormat/>
    <w:rsid w:val="00355099"/>
  </w:style>
  <w:style w:type="character" w:styleId="Strong">
    <w:name w:val="Strong"/>
    <w:basedOn w:val="DefaultParagraphFont"/>
    <w:uiPriority w:val="22"/>
    <w:qFormat/>
    <w:rsid w:val="007C68E1"/>
    <w:rPr>
      <w:b/>
      <w:bCs/>
      <w:color w:val="000000" w:themeColor="text1"/>
    </w:rPr>
  </w:style>
  <w:style w:type="character" w:styleId="SubtleEmphasis">
    <w:name w:val="Subtle Emphasis"/>
    <w:basedOn w:val="DefaultParagraphFont"/>
    <w:uiPriority w:val="19"/>
    <w:qFormat/>
    <w:rsid w:val="007C68E1"/>
    <w:rPr>
      <w:i/>
      <w:iCs/>
      <w:color w:val="404040" w:themeColor="text1" w:themeTint="BF"/>
    </w:rPr>
  </w:style>
  <w:style w:type="character" w:customStyle="1" w:styleId="TextChar">
    <w:name w:val="Text Char"/>
    <w:link w:val="Text"/>
    <w:rsid w:val="00D53DAC"/>
    <w:rPr>
      <w:rFonts w:ascii="Arial" w:eastAsia="Calibri" w:hAnsi="Arial" w:cs="Times New Roman"/>
      <w:sz w:val="24"/>
    </w:rPr>
  </w:style>
  <w:style w:type="paragraph" w:styleId="DocumentMap">
    <w:name w:val="Document Map"/>
    <w:basedOn w:val="Normal"/>
    <w:link w:val="DocumentMapChar"/>
    <w:uiPriority w:val="99"/>
    <w:semiHidden/>
    <w:unhideWhenUsed/>
    <w:rsid w:val="007C21E5"/>
    <w:rPr>
      <w:rFonts w:ascii="Lucida Grande" w:hAnsi="Lucida Grande"/>
      <w:szCs w:val="24"/>
    </w:rPr>
  </w:style>
  <w:style w:type="character" w:customStyle="1" w:styleId="DocumentMapChar">
    <w:name w:val="Document Map Char"/>
    <w:basedOn w:val="DefaultParagraphFont"/>
    <w:link w:val="DocumentMap"/>
    <w:uiPriority w:val="99"/>
    <w:semiHidden/>
    <w:rsid w:val="007C21E5"/>
    <w:rPr>
      <w:rFonts w:ascii="Lucida Grande" w:eastAsia="Calibri" w:hAnsi="Lucida Grande" w:cs="Times New Roman"/>
      <w:color w:val="000000" w:themeColor="text1"/>
      <w:sz w:val="24"/>
      <w:szCs w:val="24"/>
    </w:rPr>
  </w:style>
  <w:style w:type="paragraph" w:customStyle="1" w:styleId="OPSNormal">
    <w:name w:val="OPS Normal"/>
    <w:link w:val="OPSNormalChar"/>
    <w:autoRedefine/>
    <w:rsid w:val="00CE2C88"/>
    <w:pPr>
      <w:widowControl w:val="0"/>
      <w:jc w:val="both"/>
    </w:pPr>
    <w:rPr>
      <w:rFonts w:cs="Times New Roman"/>
      <w:szCs w:val="20"/>
    </w:rPr>
  </w:style>
  <w:style w:type="character" w:customStyle="1" w:styleId="OPSNormalChar">
    <w:name w:val="OPS Normal Char"/>
    <w:link w:val="OPSNormal"/>
    <w:locked/>
    <w:rsid w:val="00CE2C88"/>
    <w:rPr>
      <w:rFonts w:cs="Times New Roman"/>
      <w:sz w:val="24"/>
      <w:szCs w:val="20"/>
    </w:rPr>
  </w:style>
  <w:style w:type="paragraph" w:styleId="TOC1">
    <w:name w:val="toc 1"/>
    <w:basedOn w:val="Normal"/>
    <w:next w:val="Normal"/>
    <w:autoRedefine/>
    <w:uiPriority w:val="39"/>
    <w:unhideWhenUsed/>
    <w:rsid w:val="002713A6"/>
    <w:pPr>
      <w:tabs>
        <w:tab w:val="left" w:pos="480"/>
        <w:tab w:val="left" w:pos="880"/>
        <w:tab w:val="right" w:leader="dot" w:pos="10070"/>
      </w:tabs>
      <w:spacing w:after="100"/>
    </w:pPr>
  </w:style>
  <w:style w:type="paragraph" w:styleId="TOC2">
    <w:name w:val="toc 2"/>
    <w:basedOn w:val="Normal"/>
    <w:next w:val="Normal"/>
    <w:autoRedefine/>
    <w:uiPriority w:val="39"/>
    <w:unhideWhenUsed/>
    <w:rsid w:val="00182E94"/>
    <w:pPr>
      <w:tabs>
        <w:tab w:val="left" w:pos="880"/>
        <w:tab w:val="right" w:leader="dot" w:pos="10070"/>
      </w:tabs>
      <w:spacing w:after="100"/>
      <w:ind w:left="240"/>
    </w:pPr>
  </w:style>
  <w:style w:type="paragraph" w:styleId="TOC3">
    <w:name w:val="toc 3"/>
    <w:basedOn w:val="Normal"/>
    <w:next w:val="Normal"/>
    <w:autoRedefine/>
    <w:uiPriority w:val="39"/>
    <w:unhideWhenUsed/>
    <w:rsid w:val="001E0255"/>
    <w:pPr>
      <w:tabs>
        <w:tab w:val="left" w:pos="1320"/>
        <w:tab w:val="right" w:leader="dot" w:pos="10070"/>
      </w:tabs>
      <w:spacing w:after="100"/>
      <w:ind w:left="480"/>
    </w:pPr>
  </w:style>
  <w:style w:type="character" w:styleId="Hyperlink">
    <w:name w:val="Hyperlink"/>
    <w:basedOn w:val="DefaultParagraphFont"/>
    <w:uiPriority w:val="99"/>
    <w:unhideWhenUsed/>
    <w:rsid w:val="008B6EE2"/>
    <w:rPr>
      <w:color w:val="006E81" w:themeColor="hyperlink"/>
      <w:u w:val="single"/>
    </w:rPr>
  </w:style>
  <w:style w:type="paragraph" w:styleId="NoSpacing">
    <w:name w:val="No Spacing"/>
    <w:link w:val="NoSpacingChar"/>
    <w:uiPriority w:val="1"/>
    <w:qFormat/>
    <w:rsid w:val="007C68E1"/>
    <w:pPr>
      <w:spacing w:after="0" w:line="240" w:lineRule="auto"/>
    </w:pPr>
  </w:style>
  <w:style w:type="character" w:customStyle="1" w:styleId="NoSpacingChar">
    <w:name w:val="No Spacing Char"/>
    <w:basedOn w:val="DefaultParagraphFont"/>
    <w:link w:val="NoSpacing"/>
    <w:uiPriority w:val="1"/>
    <w:rsid w:val="00C67CDA"/>
  </w:style>
  <w:style w:type="character" w:styleId="CommentReference">
    <w:name w:val="annotation reference"/>
    <w:basedOn w:val="DefaultParagraphFont"/>
    <w:uiPriority w:val="99"/>
    <w:semiHidden/>
    <w:unhideWhenUsed/>
    <w:rsid w:val="00FD22FA"/>
    <w:rPr>
      <w:sz w:val="16"/>
      <w:szCs w:val="16"/>
    </w:rPr>
  </w:style>
  <w:style w:type="paragraph" w:styleId="CommentText">
    <w:name w:val="annotation text"/>
    <w:basedOn w:val="Normal"/>
    <w:link w:val="CommentTextChar"/>
    <w:uiPriority w:val="99"/>
    <w:unhideWhenUsed/>
    <w:rsid w:val="00FD22FA"/>
    <w:rPr>
      <w:sz w:val="20"/>
      <w:szCs w:val="20"/>
    </w:rPr>
  </w:style>
  <w:style w:type="character" w:customStyle="1" w:styleId="CommentTextChar">
    <w:name w:val="Comment Text Char"/>
    <w:basedOn w:val="DefaultParagraphFont"/>
    <w:link w:val="CommentText"/>
    <w:uiPriority w:val="99"/>
    <w:rsid w:val="00FD22FA"/>
    <w:rPr>
      <w:rFonts w:ascii="Arial" w:eastAsia="Calibri"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D22FA"/>
    <w:rPr>
      <w:b/>
      <w:bCs/>
    </w:rPr>
  </w:style>
  <w:style w:type="character" w:customStyle="1" w:styleId="CommentSubjectChar">
    <w:name w:val="Comment Subject Char"/>
    <w:basedOn w:val="CommentTextChar"/>
    <w:link w:val="CommentSubject"/>
    <w:uiPriority w:val="99"/>
    <w:semiHidden/>
    <w:rsid w:val="00FD22FA"/>
    <w:rPr>
      <w:rFonts w:ascii="Arial" w:eastAsia="Calibri" w:hAnsi="Arial" w:cs="Times New Roman"/>
      <w:b/>
      <w:bCs/>
      <w:color w:val="000000" w:themeColor="text1"/>
      <w:sz w:val="20"/>
      <w:szCs w:val="20"/>
    </w:rPr>
  </w:style>
  <w:style w:type="paragraph" w:styleId="Revision">
    <w:name w:val="Revision"/>
    <w:hidden/>
    <w:uiPriority w:val="99"/>
    <w:semiHidden/>
    <w:rsid w:val="00FD22FA"/>
    <w:rPr>
      <w:rFonts w:ascii="Arial" w:eastAsia="Calibri" w:hAnsi="Arial" w:cs="Times New Roman"/>
      <w:color w:val="000000" w:themeColor="text1"/>
    </w:rPr>
  </w:style>
  <w:style w:type="character" w:customStyle="1" w:styleId="UnresolvedMention1">
    <w:name w:val="Unresolved Mention1"/>
    <w:basedOn w:val="DefaultParagraphFont"/>
    <w:uiPriority w:val="99"/>
    <w:unhideWhenUsed/>
    <w:rsid w:val="001B22A8"/>
    <w:rPr>
      <w:color w:val="605E5C"/>
      <w:shd w:val="clear" w:color="auto" w:fill="E1DFDD"/>
    </w:rPr>
  </w:style>
  <w:style w:type="character" w:styleId="FollowedHyperlink">
    <w:name w:val="FollowedHyperlink"/>
    <w:basedOn w:val="DefaultParagraphFont"/>
    <w:uiPriority w:val="99"/>
    <w:semiHidden/>
    <w:unhideWhenUsed/>
    <w:rsid w:val="000A3668"/>
    <w:rPr>
      <w:color w:val="4D3F5A" w:themeColor="followedHyperlink"/>
      <w:u w:val="single"/>
    </w:rPr>
  </w:style>
  <w:style w:type="paragraph" w:styleId="BodyTextIndent">
    <w:name w:val="Body Text Indent"/>
    <w:basedOn w:val="Normal"/>
    <w:link w:val="BodyTextIndentChar"/>
    <w:uiPriority w:val="99"/>
    <w:unhideWhenUsed/>
    <w:rsid w:val="00B6161A"/>
    <w:pPr>
      <w:ind w:left="283"/>
    </w:pPr>
  </w:style>
  <w:style w:type="character" w:customStyle="1" w:styleId="BodyTextIndentChar">
    <w:name w:val="Body Text Indent Char"/>
    <w:basedOn w:val="DefaultParagraphFont"/>
    <w:link w:val="BodyTextIndent"/>
    <w:uiPriority w:val="99"/>
    <w:rsid w:val="00B6161A"/>
    <w:rPr>
      <w:rFonts w:ascii="Arial" w:eastAsia="Calibri" w:hAnsi="Arial" w:cs="Times New Roman"/>
      <w:color w:val="000000" w:themeColor="text1"/>
      <w:sz w:val="24"/>
    </w:rPr>
  </w:style>
  <w:style w:type="paragraph" w:customStyle="1" w:styleId="first-para">
    <w:name w:val="first-para"/>
    <w:basedOn w:val="Normal"/>
    <w:rsid w:val="00542AE4"/>
    <w:pPr>
      <w:spacing w:after="150"/>
    </w:pPr>
    <w:rPr>
      <w:rFonts w:ascii="Times New Roman" w:eastAsia="Times New Roman" w:hAnsi="Times New Roman"/>
      <w:szCs w:val="24"/>
      <w:lang w:eastAsia="en-CA"/>
    </w:rPr>
  </w:style>
  <w:style w:type="paragraph" w:customStyle="1" w:styleId="Default">
    <w:name w:val="Default"/>
    <w:rsid w:val="00C56CA6"/>
    <w:pPr>
      <w:autoSpaceDE w:val="0"/>
      <w:autoSpaceDN w:val="0"/>
      <w:adjustRightInd w:val="0"/>
    </w:pPr>
    <w:rPr>
      <w:rFonts w:ascii="Arial" w:hAnsi="Arial" w:cs="Arial"/>
      <w:color w:val="000000"/>
      <w:szCs w:val="24"/>
    </w:rPr>
  </w:style>
  <w:style w:type="character" w:customStyle="1" w:styleId="Heading6Char">
    <w:name w:val="Heading 6 Char"/>
    <w:basedOn w:val="DefaultParagraphFont"/>
    <w:link w:val="Heading6"/>
    <w:uiPriority w:val="9"/>
    <w:rsid w:val="007C68E1"/>
    <w:rPr>
      <w:rFonts w:asciiTheme="majorHAnsi" w:eastAsiaTheme="majorEastAsia" w:hAnsiTheme="majorHAnsi" w:cstheme="majorBidi"/>
      <w:i/>
      <w:iCs/>
      <w:color w:val="005160" w:themeColor="text2" w:themeShade="BF"/>
    </w:rPr>
  </w:style>
  <w:style w:type="character" w:customStyle="1" w:styleId="Heading7Char">
    <w:name w:val="Heading 7 Char"/>
    <w:basedOn w:val="DefaultParagraphFont"/>
    <w:link w:val="Heading7"/>
    <w:uiPriority w:val="9"/>
    <w:rsid w:val="007C68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68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68E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C68E1"/>
    <w:pPr>
      <w:spacing w:after="200" w:line="240" w:lineRule="auto"/>
    </w:pPr>
    <w:rPr>
      <w:i/>
      <w:iCs/>
      <w:color w:val="006E81" w:themeColor="text2"/>
      <w:sz w:val="18"/>
      <w:szCs w:val="18"/>
    </w:rPr>
  </w:style>
  <w:style w:type="paragraph" w:styleId="Quote">
    <w:name w:val="Quote"/>
    <w:basedOn w:val="Normal"/>
    <w:next w:val="Normal"/>
    <w:link w:val="QuoteChar"/>
    <w:uiPriority w:val="29"/>
    <w:qFormat/>
    <w:rsid w:val="007C68E1"/>
    <w:pPr>
      <w:spacing w:before="160"/>
      <w:ind w:left="720" w:right="720"/>
    </w:pPr>
    <w:rPr>
      <w:i/>
      <w:iCs/>
    </w:rPr>
  </w:style>
  <w:style w:type="character" w:customStyle="1" w:styleId="QuoteChar">
    <w:name w:val="Quote Char"/>
    <w:basedOn w:val="DefaultParagraphFont"/>
    <w:link w:val="Quote"/>
    <w:uiPriority w:val="29"/>
    <w:rsid w:val="007C68E1"/>
    <w:rPr>
      <w:i/>
      <w:iCs/>
      <w:color w:val="000000" w:themeColor="text1"/>
    </w:rPr>
  </w:style>
  <w:style w:type="paragraph" w:styleId="IntenseQuote">
    <w:name w:val="Intense Quote"/>
    <w:basedOn w:val="Normal"/>
    <w:next w:val="Normal"/>
    <w:link w:val="IntenseQuoteChar"/>
    <w:uiPriority w:val="30"/>
    <w:qFormat/>
    <w:rsid w:val="007C68E1"/>
    <w:pPr>
      <w:pBdr>
        <w:top w:val="single" w:sz="24" w:space="1" w:color="F2F2F2" w:themeColor="background1" w:themeShade="F2"/>
        <w:bottom w:val="single" w:sz="24" w:space="1" w:color="F2F2F2" w:themeColor="background1" w:themeShade="F2"/>
      </w:pBdr>
      <w:shd w:val="clear" w:color="auto" w:fill="F2F2F2" w:themeFill="background1" w:themeFillShade="F2"/>
      <w:spacing w:after="240"/>
      <w:ind w:left="936" w:right="936"/>
      <w:jc w:val="center"/>
    </w:pPr>
  </w:style>
  <w:style w:type="character" w:customStyle="1" w:styleId="IntenseQuoteChar">
    <w:name w:val="Intense Quote Char"/>
    <w:basedOn w:val="DefaultParagraphFont"/>
    <w:link w:val="IntenseQuote"/>
    <w:uiPriority w:val="30"/>
    <w:rsid w:val="007C68E1"/>
    <w:rPr>
      <w:color w:val="000000" w:themeColor="text1"/>
      <w:shd w:val="clear" w:color="auto" w:fill="F2F2F2" w:themeFill="background1" w:themeFillShade="F2"/>
    </w:rPr>
  </w:style>
  <w:style w:type="character" w:styleId="IntenseEmphasis">
    <w:name w:val="Intense Emphasis"/>
    <w:basedOn w:val="DefaultParagraphFont"/>
    <w:uiPriority w:val="21"/>
    <w:qFormat/>
    <w:rsid w:val="007C68E1"/>
    <w:rPr>
      <w:b/>
      <w:bCs/>
      <w:i/>
      <w:iCs/>
      <w:caps/>
    </w:rPr>
  </w:style>
  <w:style w:type="character" w:styleId="BookTitle">
    <w:name w:val="Book Title"/>
    <w:basedOn w:val="DefaultParagraphFont"/>
    <w:uiPriority w:val="33"/>
    <w:qFormat/>
    <w:rsid w:val="007C68E1"/>
    <w:rPr>
      <w:b w:val="0"/>
      <w:bCs w:val="0"/>
      <w:smallCaps/>
      <w:spacing w:val="5"/>
    </w:rPr>
  </w:style>
  <w:style w:type="paragraph" w:styleId="TOCHeading">
    <w:name w:val="TOC Heading"/>
    <w:basedOn w:val="Heading1"/>
    <w:next w:val="Normal"/>
    <w:uiPriority w:val="39"/>
    <w:unhideWhenUsed/>
    <w:qFormat/>
    <w:rsid w:val="007C68E1"/>
    <w:pPr>
      <w:framePr w:wrap="around" w:hAnchor="text"/>
      <w:outlineLvl w:val="9"/>
    </w:pPr>
  </w:style>
  <w:style w:type="table" w:customStyle="1" w:styleId="TableGrid1">
    <w:name w:val="Table Grid1"/>
    <w:basedOn w:val="TableNormal"/>
    <w:next w:val="TableGrid"/>
    <w:uiPriority w:val="59"/>
    <w:rsid w:val="00CE1BBF"/>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06EE"/>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mmaryText">
    <w:name w:val="SummaryText"/>
    <w:basedOn w:val="Normal"/>
    <w:uiPriority w:val="4"/>
    <w:qFormat/>
    <w:rsid w:val="00F906EE"/>
    <w:pPr>
      <w:numPr>
        <w:numId w:val="5"/>
      </w:numPr>
      <w:spacing w:after="240" w:line="240" w:lineRule="auto"/>
      <w:jc w:val="both"/>
    </w:pPr>
    <w:rPr>
      <w:rFonts w:ascii="Verdana" w:eastAsia="Calibri" w:hAnsi="Verdana" w:cs="Times New Roman"/>
      <w:sz w:val="18"/>
    </w:rPr>
  </w:style>
  <w:style w:type="character" w:customStyle="1" w:styleId="normaltextrun">
    <w:name w:val="normaltextrun"/>
    <w:basedOn w:val="DefaultParagraphFont"/>
    <w:rsid w:val="006718AA"/>
  </w:style>
  <w:style w:type="table" w:styleId="GridTable5Dark-Accent5">
    <w:name w:val="Grid Table 5 Dark Accent 5"/>
    <w:basedOn w:val="TableNormal"/>
    <w:uiPriority w:val="50"/>
    <w:rsid w:val="00C159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C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C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C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C91" w:themeFill="accent5"/>
      </w:tcPr>
    </w:tblStylePr>
    <w:tblStylePr w:type="band1Vert">
      <w:tblPr/>
      <w:tcPr>
        <w:shd w:val="clear" w:color="auto" w:fill="DEF1D3" w:themeFill="accent5" w:themeFillTint="66"/>
      </w:tcPr>
    </w:tblStylePr>
    <w:tblStylePr w:type="band1Horz">
      <w:tblPr/>
      <w:tcPr>
        <w:shd w:val="clear" w:color="auto" w:fill="DEF1D3" w:themeFill="accent5" w:themeFillTint="66"/>
      </w:tcPr>
    </w:tblStylePr>
  </w:style>
  <w:style w:type="character" w:customStyle="1" w:styleId="jpfdse">
    <w:name w:val="jpfdse"/>
    <w:basedOn w:val="DefaultParagraphFont"/>
    <w:rsid w:val="00410505"/>
  </w:style>
  <w:style w:type="character" w:customStyle="1" w:styleId="eop">
    <w:name w:val="eop"/>
    <w:basedOn w:val="DefaultParagraphFont"/>
    <w:rsid w:val="003575A8"/>
  </w:style>
  <w:style w:type="character" w:customStyle="1" w:styleId="Mention1">
    <w:name w:val="Mention1"/>
    <w:basedOn w:val="DefaultParagraphFont"/>
    <w:uiPriority w:val="99"/>
    <w:unhideWhenUsed/>
    <w:rsid w:val="00A02DAB"/>
    <w:rPr>
      <w:color w:val="2B579A"/>
      <w:shd w:val="clear" w:color="auto" w:fill="E1DFDD"/>
    </w:rPr>
  </w:style>
  <w:style w:type="table" w:styleId="GridTable4">
    <w:name w:val="Grid Table 4"/>
    <w:basedOn w:val="TableNormal"/>
    <w:uiPriority w:val="49"/>
    <w:rsid w:val="004F0F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438C"/>
    <w:pPr>
      <w:spacing w:after="0" w:line="240" w:lineRule="auto"/>
    </w:pPr>
    <w:tblPr>
      <w:tblStyleRowBandSize w:val="1"/>
      <w:tblStyleColBandSize w:val="1"/>
      <w:tblBorders>
        <w:top w:val="single" w:sz="4" w:space="0" w:color="003740" w:themeColor="text2" w:themeShade="80"/>
        <w:left w:val="single" w:sz="4" w:space="0" w:color="003740" w:themeColor="text2" w:themeShade="80"/>
        <w:bottom w:val="single" w:sz="4" w:space="0" w:color="003740" w:themeColor="text2" w:themeShade="80"/>
        <w:right w:val="single" w:sz="4" w:space="0" w:color="003740" w:themeColor="text2" w:themeShade="80"/>
        <w:insideH w:val="single" w:sz="4" w:space="0" w:color="003740" w:themeColor="text2" w:themeShade="80"/>
        <w:insideV w:val="single" w:sz="4" w:space="0" w:color="003740" w:themeColor="text2" w:themeShade="80"/>
      </w:tblBorders>
    </w:tblPr>
    <w:tcPr>
      <w:shd w:val="clear" w:color="auto" w:fill="auto"/>
    </w:tcPr>
    <w:tblStylePr w:type="firstRow">
      <w:rPr>
        <w:b/>
        <w:bCs/>
        <w:color w:val="FFFFFF" w:themeColor="background1"/>
      </w:rPr>
      <w:tblPr/>
      <w:tcPr>
        <w:shd w:val="clear" w:color="auto" w:fill="005160" w:themeFill="text2" w:themeFillShade="BF"/>
      </w:tcPr>
    </w:tblStylePr>
    <w:tblStylePr w:type="lastRow">
      <w:rPr>
        <w:b/>
        <w:bCs/>
      </w:rPr>
      <w:tblPr/>
      <w:tcPr>
        <w:tcBorders>
          <w:top w:val="double" w:sz="4" w:space="0" w:color="4D3F5A" w:themeColor="accent1"/>
        </w:tcBorders>
      </w:tcPr>
    </w:tblStylePr>
    <w:tblStylePr w:type="firstCol">
      <w:rPr>
        <w:b/>
        <w:bCs/>
      </w:rPr>
    </w:tblStylePr>
    <w:tblStylePr w:type="lastCol">
      <w:rPr>
        <w:b/>
        <w:bCs/>
      </w:rPr>
    </w:tblStylePr>
    <w:tblStylePr w:type="band1Vert">
      <w:tblPr/>
      <w:tcPr>
        <w:shd w:val="clear" w:color="auto" w:fill="DBD4E1" w:themeFill="accent1" w:themeFillTint="33"/>
      </w:tcPr>
    </w:tblStylePr>
    <w:tblStylePr w:type="band1Horz">
      <w:tblPr/>
      <w:tcPr>
        <w:shd w:val="clear" w:color="auto" w:fill="E9F9F4" w:themeFill="accent3" w:themeFillTint="33"/>
      </w:tcPr>
    </w:tblStylePr>
  </w:style>
  <w:style w:type="character" w:customStyle="1" w:styleId="ui-provider">
    <w:name w:val="ui-provider"/>
    <w:basedOn w:val="DefaultParagraphFont"/>
    <w:rsid w:val="00B46135"/>
  </w:style>
  <w:style w:type="character" w:customStyle="1" w:styleId="cf01">
    <w:name w:val="cf01"/>
    <w:basedOn w:val="DefaultParagraphFont"/>
    <w:rsid w:val="007E18F0"/>
    <w:rPr>
      <w:rFonts w:ascii="Segoe UI" w:hAnsi="Segoe UI" w:cs="Segoe UI" w:hint="default"/>
      <w:sz w:val="18"/>
      <w:szCs w:val="18"/>
    </w:rPr>
  </w:style>
  <w:style w:type="paragraph" w:customStyle="1" w:styleId="pf0">
    <w:name w:val="pf0"/>
    <w:basedOn w:val="Normal"/>
    <w:rsid w:val="0008761F"/>
    <w:pPr>
      <w:spacing w:before="100" w:beforeAutospacing="1" w:after="100" w:afterAutospacing="1" w:line="240" w:lineRule="auto"/>
      <w:ind w:left="20"/>
    </w:pPr>
    <w:rPr>
      <w:rFonts w:ascii="Times New Roman" w:eastAsia="Times New Roman" w:hAnsi="Times New Roman" w:cs="Times New Roman"/>
      <w:szCs w:val="24"/>
      <w:lang w:eastAsia="en-CA"/>
    </w:rPr>
  </w:style>
  <w:style w:type="character" w:customStyle="1" w:styleId="cf11">
    <w:name w:val="cf11"/>
    <w:basedOn w:val="DefaultParagraphFont"/>
    <w:rsid w:val="0008761F"/>
    <w:rPr>
      <w:rFonts w:ascii="Segoe UI" w:hAnsi="Segoe UI" w:cs="Segoe UI" w:hint="default"/>
      <w:color w:val="505050"/>
      <w:sz w:val="18"/>
      <w:szCs w:val="18"/>
    </w:rPr>
  </w:style>
  <w:style w:type="paragraph" w:styleId="FootnoteText">
    <w:name w:val="footnote text"/>
    <w:basedOn w:val="Normal"/>
    <w:link w:val="FootnoteTextChar"/>
    <w:uiPriority w:val="99"/>
    <w:semiHidden/>
    <w:unhideWhenUsed/>
    <w:rsid w:val="0010142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0142D"/>
    <w:rPr>
      <w:sz w:val="20"/>
      <w:szCs w:val="20"/>
    </w:rPr>
  </w:style>
  <w:style w:type="character" w:styleId="FootnoteReference">
    <w:name w:val="footnote reference"/>
    <w:basedOn w:val="DefaultParagraphFont"/>
    <w:uiPriority w:val="99"/>
    <w:semiHidden/>
    <w:unhideWhenUsed/>
    <w:rsid w:val="0010142D"/>
    <w:rPr>
      <w:vertAlign w:val="superscript"/>
    </w:rPr>
  </w:style>
  <w:style w:type="paragraph" w:customStyle="1" w:styleId="Heading2A">
    <w:name w:val="Heading 2A"/>
    <w:basedOn w:val="Heading2"/>
    <w:link w:val="Heading2AChar"/>
    <w:qFormat/>
    <w:rsid w:val="00146865"/>
  </w:style>
  <w:style w:type="character" w:customStyle="1" w:styleId="Heading2AChar">
    <w:name w:val="Heading 2A Char"/>
    <w:basedOn w:val="Heading2Char"/>
    <w:link w:val="Heading2A"/>
    <w:rsid w:val="00146865"/>
    <w:rPr>
      <w:rFonts w:eastAsiaTheme="majorEastAsia" w:cstheme="majorBidi"/>
      <w:b/>
      <w:bCs/>
      <w:smallCaps/>
      <w:color w:val="006E81"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27">
      <w:bodyDiv w:val="1"/>
      <w:marLeft w:val="0"/>
      <w:marRight w:val="0"/>
      <w:marTop w:val="0"/>
      <w:marBottom w:val="0"/>
      <w:divBdr>
        <w:top w:val="none" w:sz="0" w:space="0" w:color="auto"/>
        <w:left w:val="none" w:sz="0" w:space="0" w:color="auto"/>
        <w:bottom w:val="none" w:sz="0" w:space="0" w:color="auto"/>
        <w:right w:val="none" w:sz="0" w:space="0" w:color="auto"/>
      </w:divBdr>
    </w:div>
    <w:div w:id="3361445">
      <w:bodyDiv w:val="1"/>
      <w:marLeft w:val="0"/>
      <w:marRight w:val="0"/>
      <w:marTop w:val="0"/>
      <w:marBottom w:val="0"/>
      <w:divBdr>
        <w:top w:val="none" w:sz="0" w:space="0" w:color="auto"/>
        <w:left w:val="none" w:sz="0" w:space="0" w:color="auto"/>
        <w:bottom w:val="none" w:sz="0" w:space="0" w:color="auto"/>
        <w:right w:val="none" w:sz="0" w:space="0" w:color="auto"/>
      </w:divBdr>
      <w:divsChild>
        <w:div w:id="199899093">
          <w:marLeft w:val="547"/>
          <w:marRight w:val="0"/>
          <w:marTop w:val="120"/>
          <w:marBottom w:val="120"/>
          <w:divBdr>
            <w:top w:val="none" w:sz="0" w:space="0" w:color="auto"/>
            <w:left w:val="none" w:sz="0" w:space="0" w:color="auto"/>
            <w:bottom w:val="none" w:sz="0" w:space="0" w:color="auto"/>
            <w:right w:val="none" w:sz="0" w:space="0" w:color="auto"/>
          </w:divBdr>
        </w:div>
        <w:div w:id="381831706">
          <w:marLeft w:val="547"/>
          <w:marRight w:val="0"/>
          <w:marTop w:val="120"/>
          <w:marBottom w:val="120"/>
          <w:divBdr>
            <w:top w:val="none" w:sz="0" w:space="0" w:color="auto"/>
            <w:left w:val="none" w:sz="0" w:space="0" w:color="auto"/>
            <w:bottom w:val="none" w:sz="0" w:space="0" w:color="auto"/>
            <w:right w:val="none" w:sz="0" w:space="0" w:color="auto"/>
          </w:divBdr>
        </w:div>
        <w:div w:id="1121222654">
          <w:marLeft w:val="547"/>
          <w:marRight w:val="0"/>
          <w:marTop w:val="120"/>
          <w:marBottom w:val="120"/>
          <w:divBdr>
            <w:top w:val="none" w:sz="0" w:space="0" w:color="auto"/>
            <w:left w:val="none" w:sz="0" w:space="0" w:color="auto"/>
            <w:bottom w:val="none" w:sz="0" w:space="0" w:color="auto"/>
            <w:right w:val="none" w:sz="0" w:space="0" w:color="auto"/>
          </w:divBdr>
        </w:div>
      </w:divsChild>
    </w:div>
    <w:div w:id="20671856">
      <w:bodyDiv w:val="1"/>
      <w:marLeft w:val="0"/>
      <w:marRight w:val="0"/>
      <w:marTop w:val="0"/>
      <w:marBottom w:val="0"/>
      <w:divBdr>
        <w:top w:val="none" w:sz="0" w:space="0" w:color="auto"/>
        <w:left w:val="none" w:sz="0" w:space="0" w:color="auto"/>
        <w:bottom w:val="none" w:sz="0" w:space="0" w:color="auto"/>
        <w:right w:val="none" w:sz="0" w:space="0" w:color="auto"/>
      </w:divBdr>
    </w:div>
    <w:div w:id="29117012">
      <w:bodyDiv w:val="1"/>
      <w:marLeft w:val="0"/>
      <w:marRight w:val="0"/>
      <w:marTop w:val="0"/>
      <w:marBottom w:val="0"/>
      <w:divBdr>
        <w:top w:val="none" w:sz="0" w:space="0" w:color="auto"/>
        <w:left w:val="none" w:sz="0" w:space="0" w:color="auto"/>
        <w:bottom w:val="none" w:sz="0" w:space="0" w:color="auto"/>
        <w:right w:val="none" w:sz="0" w:space="0" w:color="auto"/>
      </w:divBdr>
    </w:div>
    <w:div w:id="30692668">
      <w:bodyDiv w:val="1"/>
      <w:marLeft w:val="0"/>
      <w:marRight w:val="0"/>
      <w:marTop w:val="0"/>
      <w:marBottom w:val="0"/>
      <w:divBdr>
        <w:top w:val="none" w:sz="0" w:space="0" w:color="auto"/>
        <w:left w:val="none" w:sz="0" w:space="0" w:color="auto"/>
        <w:bottom w:val="none" w:sz="0" w:space="0" w:color="auto"/>
        <w:right w:val="none" w:sz="0" w:space="0" w:color="auto"/>
      </w:divBdr>
    </w:div>
    <w:div w:id="42214778">
      <w:bodyDiv w:val="1"/>
      <w:marLeft w:val="0"/>
      <w:marRight w:val="0"/>
      <w:marTop w:val="0"/>
      <w:marBottom w:val="0"/>
      <w:divBdr>
        <w:top w:val="none" w:sz="0" w:space="0" w:color="auto"/>
        <w:left w:val="none" w:sz="0" w:space="0" w:color="auto"/>
        <w:bottom w:val="none" w:sz="0" w:space="0" w:color="auto"/>
        <w:right w:val="none" w:sz="0" w:space="0" w:color="auto"/>
      </w:divBdr>
    </w:div>
    <w:div w:id="63837783">
      <w:bodyDiv w:val="1"/>
      <w:marLeft w:val="0"/>
      <w:marRight w:val="0"/>
      <w:marTop w:val="0"/>
      <w:marBottom w:val="0"/>
      <w:divBdr>
        <w:top w:val="none" w:sz="0" w:space="0" w:color="auto"/>
        <w:left w:val="none" w:sz="0" w:space="0" w:color="auto"/>
        <w:bottom w:val="none" w:sz="0" w:space="0" w:color="auto"/>
        <w:right w:val="none" w:sz="0" w:space="0" w:color="auto"/>
      </w:divBdr>
    </w:div>
    <w:div w:id="70390041">
      <w:bodyDiv w:val="1"/>
      <w:marLeft w:val="0"/>
      <w:marRight w:val="0"/>
      <w:marTop w:val="0"/>
      <w:marBottom w:val="0"/>
      <w:divBdr>
        <w:top w:val="none" w:sz="0" w:space="0" w:color="auto"/>
        <w:left w:val="none" w:sz="0" w:space="0" w:color="auto"/>
        <w:bottom w:val="none" w:sz="0" w:space="0" w:color="auto"/>
        <w:right w:val="none" w:sz="0" w:space="0" w:color="auto"/>
      </w:divBdr>
      <w:divsChild>
        <w:div w:id="67195333">
          <w:marLeft w:val="547"/>
          <w:marRight w:val="0"/>
          <w:marTop w:val="0"/>
          <w:marBottom w:val="0"/>
          <w:divBdr>
            <w:top w:val="none" w:sz="0" w:space="0" w:color="auto"/>
            <w:left w:val="none" w:sz="0" w:space="0" w:color="auto"/>
            <w:bottom w:val="none" w:sz="0" w:space="0" w:color="auto"/>
            <w:right w:val="none" w:sz="0" w:space="0" w:color="auto"/>
          </w:divBdr>
        </w:div>
        <w:div w:id="110562289">
          <w:marLeft w:val="547"/>
          <w:marRight w:val="0"/>
          <w:marTop w:val="0"/>
          <w:marBottom w:val="0"/>
          <w:divBdr>
            <w:top w:val="none" w:sz="0" w:space="0" w:color="auto"/>
            <w:left w:val="none" w:sz="0" w:space="0" w:color="auto"/>
            <w:bottom w:val="none" w:sz="0" w:space="0" w:color="auto"/>
            <w:right w:val="none" w:sz="0" w:space="0" w:color="auto"/>
          </w:divBdr>
        </w:div>
        <w:div w:id="163981530">
          <w:marLeft w:val="547"/>
          <w:marRight w:val="0"/>
          <w:marTop w:val="0"/>
          <w:marBottom w:val="0"/>
          <w:divBdr>
            <w:top w:val="none" w:sz="0" w:space="0" w:color="auto"/>
            <w:left w:val="none" w:sz="0" w:space="0" w:color="auto"/>
            <w:bottom w:val="none" w:sz="0" w:space="0" w:color="auto"/>
            <w:right w:val="none" w:sz="0" w:space="0" w:color="auto"/>
          </w:divBdr>
        </w:div>
        <w:div w:id="216431255">
          <w:marLeft w:val="547"/>
          <w:marRight w:val="0"/>
          <w:marTop w:val="0"/>
          <w:marBottom w:val="0"/>
          <w:divBdr>
            <w:top w:val="none" w:sz="0" w:space="0" w:color="auto"/>
            <w:left w:val="none" w:sz="0" w:space="0" w:color="auto"/>
            <w:bottom w:val="none" w:sz="0" w:space="0" w:color="auto"/>
            <w:right w:val="none" w:sz="0" w:space="0" w:color="auto"/>
          </w:divBdr>
        </w:div>
        <w:div w:id="226383805">
          <w:marLeft w:val="547"/>
          <w:marRight w:val="0"/>
          <w:marTop w:val="0"/>
          <w:marBottom w:val="0"/>
          <w:divBdr>
            <w:top w:val="none" w:sz="0" w:space="0" w:color="auto"/>
            <w:left w:val="none" w:sz="0" w:space="0" w:color="auto"/>
            <w:bottom w:val="none" w:sz="0" w:space="0" w:color="auto"/>
            <w:right w:val="none" w:sz="0" w:space="0" w:color="auto"/>
          </w:divBdr>
        </w:div>
        <w:div w:id="303198040">
          <w:marLeft w:val="547"/>
          <w:marRight w:val="0"/>
          <w:marTop w:val="0"/>
          <w:marBottom w:val="0"/>
          <w:divBdr>
            <w:top w:val="none" w:sz="0" w:space="0" w:color="auto"/>
            <w:left w:val="none" w:sz="0" w:space="0" w:color="auto"/>
            <w:bottom w:val="none" w:sz="0" w:space="0" w:color="auto"/>
            <w:right w:val="none" w:sz="0" w:space="0" w:color="auto"/>
          </w:divBdr>
        </w:div>
        <w:div w:id="356010608">
          <w:marLeft w:val="547"/>
          <w:marRight w:val="0"/>
          <w:marTop w:val="0"/>
          <w:marBottom w:val="0"/>
          <w:divBdr>
            <w:top w:val="none" w:sz="0" w:space="0" w:color="auto"/>
            <w:left w:val="none" w:sz="0" w:space="0" w:color="auto"/>
            <w:bottom w:val="none" w:sz="0" w:space="0" w:color="auto"/>
            <w:right w:val="none" w:sz="0" w:space="0" w:color="auto"/>
          </w:divBdr>
        </w:div>
        <w:div w:id="357701314">
          <w:marLeft w:val="547"/>
          <w:marRight w:val="0"/>
          <w:marTop w:val="0"/>
          <w:marBottom w:val="0"/>
          <w:divBdr>
            <w:top w:val="none" w:sz="0" w:space="0" w:color="auto"/>
            <w:left w:val="none" w:sz="0" w:space="0" w:color="auto"/>
            <w:bottom w:val="none" w:sz="0" w:space="0" w:color="auto"/>
            <w:right w:val="none" w:sz="0" w:space="0" w:color="auto"/>
          </w:divBdr>
        </w:div>
        <w:div w:id="410004987">
          <w:marLeft w:val="547"/>
          <w:marRight w:val="0"/>
          <w:marTop w:val="0"/>
          <w:marBottom w:val="0"/>
          <w:divBdr>
            <w:top w:val="none" w:sz="0" w:space="0" w:color="auto"/>
            <w:left w:val="none" w:sz="0" w:space="0" w:color="auto"/>
            <w:bottom w:val="none" w:sz="0" w:space="0" w:color="auto"/>
            <w:right w:val="none" w:sz="0" w:space="0" w:color="auto"/>
          </w:divBdr>
        </w:div>
        <w:div w:id="438768196">
          <w:marLeft w:val="547"/>
          <w:marRight w:val="0"/>
          <w:marTop w:val="0"/>
          <w:marBottom w:val="0"/>
          <w:divBdr>
            <w:top w:val="none" w:sz="0" w:space="0" w:color="auto"/>
            <w:left w:val="none" w:sz="0" w:space="0" w:color="auto"/>
            <w:bottom w:val="none" w:sz="0" w:space="0" w:color="auto"/>
            <w:right w:val="none" w:sz="0" w:space="0" w:color="auto"/>
          </w:divBdr>
        </w:div>
        <w:div w:id="461967171">
          <w:marLeft w:val="547"/>
          <w:marRight w:val="0"/>
          <w:marTop w:val="0"/>
          <w:marBottom w:val="0"/>
          <w:divBdr>
            <w:top w:val="none" w:sz="0" w:space="0" w:color="auto"/>
            <w:left w:val="none" w:sz="0" w:space="0" w:color="auto"/>
            <w:bottom w:val="none" w:sz="0" w:space="0" w:color="auto"/>
            <w:right w:val="none" w:sz="0" w:space="0" w:color="auto"/>
          </w:divBdr>
        </w:div>
        <w:div w:id="580531350">
          <w:marLeft w:val="547"/>
          <w:marRight w:val="0"/>
          <w:marTop w:val="0"/>
          <w:marBottom w:val="0"/>
          <w:divBdr>
            <w:top w:val="none" w:sz="0" w:space="0" w:color="auto"/>
            <w:left w:val="none" w:sz="0" w:space="0" w:color="auto"/>
            <w:bottom w:val="none" w:sz="0" w:space="0" w:color="auto"/>
            <w:right w:val="none" w:sz="0" w:space="0" w:color="auto"/>
          </w:divBdr>
        </w:div>
        <w:div w:id="726493054">
          <w:marLeft w:val="547"/>
          <w:marRight w:val="0"/>
          <w:marTop w:val="0"/>
          <w:marBottom w:val="0"/>
          <w:divBdr>
            <w:top w:val="none" w:sz="0" w:space="0" w:color="auto"/>
            <w:left w:val="none" w:sz="0" w:space="0" w:color="auto"/>
            <w:bottom w:val="none" w:sz="0" w:space="0" w:color="auto"/>
            <w:right w:val="none" w:sz="0" w:space="0" w:color="auto"/>
          </w:divBdr>
        </w:div>
        <w:div w:id="778795712">
          <w:marLeft w:val="547"/>
          <w:marRight w:val="0"/>
          <w:marTop w:val="0"/>
          <w:marBottom w:val="0"/>
          <w:divBdr>
            <w:top w:val="none" w:sz="0" w:space="0" w:color="auto"/>
            <w:left w:val="none" w:sz="0" w:space="0" w:color="auto"/>
            <w:bottom w:val="none" w:sz="0" w:space="0" w:color="auto"/>
            <w:right w:val="none" w:sz="0" w:space="0" w:color="auto"/>
          </w:divBdr>
        </w:div>
        <w:div w:id="817305798">
          <w:marLeft w:val="547"/>
          <w:marRight w:val="0"/>
          <w:marTop w:val="0"/>
          <w:marBottom w:val="0"/>
          <w:divBdr>
            <w:top w:val="none" w:sz="0" w:space="0" w:color="auto"/>
            <w:left w:val="none" w:sz="0" w:space="0" w:color="auto"/>
            <w:bottom w:val="none" w:sz="0" w:space="0" w:color="auto"/>
            <w:right w:val="none" w:sz="0" w:space="0" w:color="auto"/>
          </w:divBdr>
        </w:div>
        <w:div w:id="834493195">
          <w:marLeft w:val="547"/>
          <w:marRight w:val="0"/>
          <w:marTop w:val="0"/>
          <w:marBottom w:val="0"/>
          <w:divBdr>
            <w:top w:val="none" w:sz="0" w:space="0" w:color="auto"/>
            <w:left w:val="none" w:sz="0" w:space="0" w:color="auto"/>
            <w:bottom w:val="none" w:sz="0" w:space="0" w:color="auto"/>
            <w:right w:val="none" w:sz="0" w:space="0" w:color="auto"/>
          </w:divBdr>
        </w:div>
        <w:div w:id="850290716">
          <w:marLeft w:val="547"/>
          <w:marRight w:val="0"/>
          <w:marTop w:val="0"/>
          <w:marBottom w:val="0"/>
          <w:divBdr>
            <w:top w:val="none" w:sz="0" w:space="0" w:color="auto"/>
            <w:left w:val="none" w:sz="0" w:space="0" w:color="auto"/>
            <w:bottom w:val="none" w:sz="0" w:space="0" w:color="auto"/>
            <w:right w:val="none" w:sz="0" w:space="0" w:color="auto"/>
          </w:divBdr>
        </w:div>
        <w:div w:id="858394054">
          <w:marLeft w:val="547"/>
          <w:marRight w:val="0"/>
          <w:marTop w:val="0"/>
          <w:marBottom w:val="0"/>
          <w:divBdr>
            <w:top w:val="none" w:sz="0" w:space="0" w:color="auto"/>
            <w:left w:val="none" w:sz="0" w:space="0" w:color="auto"/>
            <w:bottom w:val="none" w:sz="0" w:space="0" w:color="auto"/>
            <w:right w:val="none" w:sz="0" w:space="0" w:color="auto"/>
          </w:divBdr>
        </w:div>
        <w:div w:id="1093210832">
          <w:marLeft w:val="547"/>
          <w:marRight w:val="0"/>
          <w:marTop w:val="0"/>
          <w:marBottom w:val="0"/>
          <w:divBdr>
            <w:top w:val="none" w:sz="0" w:space="0" w:color="auto"/>
            <w:left w:val="none" w:sz="0" w:space="0" w:color="auto"/>
            <w:bottom w:val="none" w:sz="0" w:space="0" w:color="auto"/>
            <w:right w:val="none" w:sz="0" w:space="0" w:color="auto"/>
          </w:divBdr>
        </w:div>
        <w:div w:id="1229027434">
          <w:marLeft w:val="547"/>
          <w:marRight w:val="0"/>
          <w:marTop w:val="0"/>
          <w:marBottom w:val="0"/>
          <w:divBdr>
            <w:top w:val="none" w:sz="0" w:space="0" w:color="auto"/>
            <w:left w:val="none" w:sz="0" w:space="0" w:color="auto"/>
            <w:bottom w:val="none" w:sz="0" w:space="0" w:color="auto"/>
            <w:right w:val="none" w:sz="0" w:space="0" w:color="auto"/>
          </w:divBdr>
        </w:div>
        <w:div w:id="1235161467">
          <w:marLeft w:val="547"/>
          <w:marRight w:val="0"/>
          <w:marTop w:val="0"/>
          <w:marBottom w:val="0"/>
          <w:divBdr>
            <w:top w:val="none" w:sz="0" w:space="0" w:color="auto"/>
            <w:left w:val="none" w:sz="0" w:space="0" w:color="auto"/>
            <w:bottom w:val="none" w:sz="0" w:space="0" w:color="auto"/>
            <w:right w:val="none" w:sz="0" w:space="0" w:color="auto"/>
          </w:divBdr>
        </w:div>
        <w:div w:id="1243223509">
          <w:marLeft w:val="547"/>
          <w:marRight w:val="0"/>
          <w:marTop w:val="0"/>
          <w:marBottom w:val="0"/>
          <w:divBdr>
            <w:top w:val="none" w:sz="0" w:space="0" w:color="auto"/>
            <w:left w:val="none" w:sz="0" w:space="0" w:color="auto"/>
            <w:bottom w:val="none" w:sz="0" w:space="0" w:color="auto"/>
            <w:right w:val="none" w:sz="0" w:space="0" w:color="auto"/>
          </w:divBdr>
        </w:div>
        <w:div w:id="1324818793">
          <w:marLeft w:val="547"/>
          <w:marRight w:val="0"/>
          <w:marTop w:val="0"/>
          <w:marBottom w:val="0"/>
          <w:divBdr>
            <w:top w:val="none" w:sz="0" w:space="0" w:color="auto"/>
            <w:left w:val="none" w:sz="0" w:space="0" w:color="auto"/>
            <w:bottom w:val="none" w:sz="0" w:space="0" w:color="auto"/>
            <w:right w:val="none" w:sz="0" w:space="0" w:color="auto"/>
          </w:divBdr>
        </w:div>
        <w:div w:id="1388990557">
          <w:marLeft w:val="547"/>
          <w:marRight w:val="0"/>
          <w:marTop w:val="0"/>
          <w:marBottom w:val="0"/>
          <w:divBdr>
            <w:top w:val="none" w:sz="0" w:space="0" w:color="auto"/>
            <w:left w:val="none" w:sz="0" w:space="0" w:color="auto"/>
            <w:bottom w:val="none" w:sz="0" w:space="0" w:color="auto"/>
            <w:right w:val="none" w:sz="0" w:space="0" w:color="auto"/>
          </w:divBdr>
        </w:div>
        <w:div w:id="1563787214">
          <w:marLeft w:val="547"/>
          <w:marRight w:val="0"/>
          <w:marTop w:val="0"/>
          <w:marBottom w:val="0"/>
          <w:divBdr>
            <w:top w:val="none" w:sz="0" w:space="0" w:color="auto"/>
            <w:left w:val="none" w:sz="0" w:space="0" w:color="auto"/>
            <w:bottom w:val="none" w:sz="0" w:space="0" w:color="auto"/>
            <w:right w:val="none" w:sz="0" w:space="0" w:color="auto"/>
          </w:divBdr>
        </w:div>
        <w:div w:id="1765226086">
          <w:marLeft w:val="547"/>
          <w:marRight w:val="0"/>
          <w:marTop w:val="0"/>
          <w:marBottom w:val="0"/>
          <w:divBdr>
            <w:top w:val="none" w:sz="0" w:space="0" w:color="auto"/>
            <w:left w:val="none" w:sz="0" w:space="0" w:color="auto"/>
            <w:bottom w:val="none" w:sz="0" w:space="0" w:color="auto"/>
            <w:right w:val="none" w:sz="0" w:space="0" w:color="auto"/>
          </w:divBdr>
        </w:div>
        <w:div w:id="1766920905">
          <w:marLeft w:val="547"/>
          <w:marRight w:val="0"/>
          <w:marTop w:val="0"/>
          <w:marBottom w:val="0"/>
          <w:divBdr>
            <w:top w:val="none" w:sz="0" w:space="0" w:color="auto"/>
            <w:left w:val="none" w:sz="0" w:space="0" w:color="auto"/>
            <w:bottom w:val="none" w:sz="0" w:space="0" w:color="auto"/>
            <w:right w:val="none" w:sz="0" w:space="0" w:color="auto"/>
          </w:divBdr>
        </w:div>
        <w:div w:id="1782142960">
          <w:marLeft w:val="547"/>
          <w:marRight w:val="0"/>
          <w:marTop w:val="0"/>
          <w:marBottom w:val="0"/>
          <w:divBdr>
            <w:top w:val="none" w:sz="0" w:space="0" w:color="auto"/>
            <w:left w:val="none" w:sz="0" w:space="0" w:color="auto"/>
            <w:bottom w:val="none" w:sz="0" w:space="0" w:color="auto"/>
            <w:right w:val="none" w:sz="0" w:space="0" w:color="auto"/>
          </w:divBdr>
        </w:div>
        <w:div w:id="1874951410">
          <w:marLeft w:val="547"/>
          <w:marRight w:val="0"/>
          <w:marTop w:val="0"/>
          <w:marBottom w:val="0"/>
          <w:divBdr>
            <w:top w:val="none" w:sz="0" w:space="0" w:color="auto"/>
            <w:left w:val="none" w:sz="0" w:space="0" w:color="auto"/>
            <w:bottom w:val="none" w:sz="0" w:space="0" w:color="auto"/>
            <w:right w:val="none" w:sz="0" w:space="0" w:color="auto"/>
          </w:divBdr>
        </w:div>
        <w:div w:id="1876238572">
          <w:marLeft w:val="547"/>
          <w:marRight w:val="0"/>
          <w:marTop w:val="0"/>
          <w:marBottom w:val="0"/>
          <w:divBdr>
            <w:top w:val="none" w:sz="0" w:space="0" w:color="auto"/>
            <w:left w:val="none" w:sz="0" w:space="0" w:color="auto"/>
            <w:bottom w:val="none" w:sz="0" w:space="0" w:color="auto"/>
            <w:right w:val="none" w:sz="0" w:space="0" w:color="auto"/>
          </w:divBdr>
        </w:div>
        <w:div w:id="1916552513">
          <w:marLeft w:val="547"/>
          <w:marRight w:val="0"/>
          <w:marTop w:val="0"/>
          <w:marBottom w:val="0"/>
          <w:divBdr>
            <w:top w:val="none" w:sz="0" w:space="0" w:color="auto"/>
            <w:left w:val="none" w:sz="0" w:space="0" w:color="auto"/>
            <w:bottom w:val="none" w:sz="0" w:space="0" w:color="auto"/>
            <w:right w:val="none" w:sz="0" w:space="0" w:color="auto"/>
          </w:divBdr>
        </w:div>
        <w:div w:id="2037660601">
          <w:marLeft w:val="547"/>
          <w:marRight w:val="0"/>
          <w:marTop w:val="0"/>
          <w:marBottom w:val="0"/>
          <w:divBdr>
            <w:top w:val="none" w:sz="0" w:space="0" w:color="auto"/>
            <w:left w:val="none" w:sz="0" w:space="0" w:color="auto"/>
            <w:bottom w:val="none" w:sz="0" w:space="0" w:color="auto"/>
            <w:right w:val="none" w:sz="0" w:space="0" w:color="auto"/>
          </w:divBdr>
        </w:div>
      </w:divsChild>
    </w:div>
    <w:div w:id="85275690">
      <w:bodyDiv w:val="1"/>
      <w:marLeft w:val="0"/>
      <w:marRight w:val="0"/>
      <w:marTop w:val="0"/>
      <w:marBottom w:val="0"/>
      <w:divBdr>
        <w:top w:val="none" w:sz="0" w:space="0" w:color="auto"/>
        <w:left w:val="none" w:sz="0" w:space="0" w:color="auto"/>
        <w:bottom w:val="none" w:sz="0" w:space="0" w:color="auto"/>
        <w:right w:val="none" w:sz="0" w:space="0" w:color="auto"/>
      </w:divBdr>
    </w:div>
    <w:div w:id="90512396">
      <w:bodyDiv w:val="1"/>
      <w:marLeft w:val="0"/>
      <w:marRight w:val="0"/>
      <w:marTop w:val="0"/>
      <w:marBottom w:val="0"/>
      <w:divBdr>
        <w:top w:val="none" w:sz="0" w:space="0" w:color="auto"/>
        <w:left w:val="none" w:sz="0" w:space="0" w:color="auto"/>
        <w:bottom w:val="none" w:sz="0" w:space="0" w:color="auto"/>
        <w:right w:val="none" w:sz="0" w:space="0" w:color="auto"/>
      </w:divBdr>
    </w:div>
    <w:div w:id="108201900">
      <w:bodyDiv w:val="1"/>
      <w:marLeft w:val="0"/>
      <w:marRight w:val="0"/>
      <w:marTop w:val="0"/>
      <w:marBottom w:val="0"/>
      <w:divBdr>
        <w:top w:val="none" w:sz="0" w:space="0" w:color="auto"/>
        <w:left w:val="none" w:sz="0" w:space="0" w:color="auto"/>
        <w:bottom w:val="none" w:sz="0" w:space="0" w:color="auto"/>
        <w:right w:val="none" w:sz="0" w:space="0" w:color="auto"/>
      </w:divBdr>
      <w:divsChild>
        <w:div w:id="557087883">
          <w:marLeft w:val="1555"/>
          <w:marRight w:val="0"/>
          <w:marTop w:val="0"/>
          <w:marBottom w:val="0"/>
          <w:divBdr>
            <w:top w:val="none" w:sz="0" w:space="0" w:color="auto"/>
            <w:left w:val="none" w:sz="0" w:space="0" w:color="auto"/>
            <w:bottom w:val="none" w:sz="0" w:space="0" w:color="auto"/>
            <w:right w:val="none" w:sz="0" w:space="0" w:color="auto"/>
          </w:divBdr>
        </w:div>
        <w:div w:id="932514809">
          <w:marLeft w:val="1555"/>
          <w:marRight w:val="0"/>
          <w:marTop w:val="0"/>
          <w:marBottom w:val="0"/>
          <w:divBdr>
            <w:top w:val="none" w:sz="0" w:space="0" w:color="auto"/>
            <w:left w:val="none" w:sz="0" w:space="0" w:color="auto"/>
            <w:bottom w:val="none" w:sz="0" w:space="0" w:color="auto"/>
            <w:right w:val="none" w:sz="0" w:space="0" w:color="auto"/>
          </w:divBdr>
        </w:div>
        <w:div w:id="1893885507">
          <w:marLeft w:val="1555"/>
          <w:marRight w:val="0"/>
          <w:marTop w:val="0"/>
          <w:marBottom w:val="0"/>
          <w:divBdr>
            <w:top w:val="none" w:sz="0" w:space="0" w:color="auto"/>
            <w:left w:val="none" w:sz="0" w:space="0" w:color="auto"/>
            <w:bottom w:val="none" w:sz="0" w:space="0" w:color="auto"/>
            <w:right w:val="none" w:sz="0" w:space="0" w:color="auto"/>
          </w:divBdr>
        </w:div>
      </w:divsChild>
    </w:div>
    <w:div w:id="137845822">
      <w:bodyDiv w:val="1"/>
      <w:marLeft w:val="0"/>
      <w:marRight w:val="0"/>
      <w:marTop w:val="0"/>
      <w:marBottom w:val="0"/>
      <w:divBdr>
        <w:top w:val="none" w:sz="0" w:space="0" w:color="auto"/>
        <w:left w:val="none" w:sz="0" w:space="0" w:color="auto"/>
        <w:bottom w:val="none" w:sz="0" w:space="0" w:color="auto"/>
        <w:right w:val="none" w:sz="0" w:space="0" w:color="auto"/>
      </w:divBdr>
    </w:div>
    <w:div w:id="151065643">
      <w:bodyDiv w:val="1"/>
      <w:marLeft w:val="0"/>
      <w:marRight w:val="0"/>
      <w:marTop w:val="0"/>
      <w:marBottom w:val="0"/>
      <w:divBdr>
        <w:top w:val="none" w:sz="0" w:space="0" w:color="auto"/>
        <w:left w:val="none" w:sz="0" w:space="0" w:color="auto"/>
        <w:bottom w:val="none" w:sz="0" w:space="0" w:color="auto"/>
        <w:right w:val="none" w:sz="0" w:space="0" w:color="auto"/>
      </w:divBdr>
      <w:divsChild>
        <w:div w:id="1404795184">
          <w:marLeft w:val="274"/>
          <w:marRight w:val="0"/>
          <w:marTop w:val="0"/>
          <w:marBottom w:val="0"/>
          <w:divBdr>
            <w:top w:val="none" w:sz="0" w:space="0" w:color="auto"/>
            <w:left w:val="none" w:sz="0" w:space="0" w:color="auto"/>
            <w:bottom w:val="none" w:sz="0" w:space="0" w:color="auto"/>
            <w:right w:val="none" w:sz="0" w:space="0" w:color="auto"/>
          </w:divBdr>
        </w:div>
        <w:div w:id="1508521424">
          <w:marLeft w:val="274"/>
          <w:marRight w:val="0"/>
          <w:marTop w:val="0"/>
          <w:marBottom w:val="0"/>
          <w:divBdr>
            <w:top w:val="none" w:sz="0" w:space="0" w:color="auto"/>
            <w:left w:val="none" w:sz="0" w:space="0" w:color="auto"/>
            <w:bottom w:val="none" w:sz="0" w:space="0" w:color="auto"/>
            <w:right w:val="none" w:sz="0" w:space="0" w:color="auto"/>
          </w:divBdr>
        </w:div>
        <w:div w:id="1533303641">
          <w:marLeft w:val="274"/>
          <w:marRight w:val="0"/>
          <w:marTop w:val="0"/>
          <w:marBottom w:val="0"/>
          <w:divBdr>
            <w:top w:val="none" w:sz="0" w:space="0" w:color="auto"/>
            <w:left w:val="none" w:sz="0" w:space="0" w:color="auto"/>
            <w:bottom w:val="none" w:sz="0" w:space="0" w:color="auto"/>
            <w:right w:val="none" w:sz="0" w:space="0" w:color="auto"/>
          </w:divBdr>
        </w:div>
      </w:divsChild>
    </w:div>
    <w:div w:id="158425064">
      <w:bodyDiv w:val="1"/>
      <w:marLeft w:val="0"/>
      <w:marRight w:val="0"/>
      <w:marTop w:val="0"/>
      <w:marBottom w:val="0"/>
      <w:divBdr>
        <w:top w:val="none" w:sz="0" w:space="0" w:color="auto"/>
        <w:left w:val="none" w:sz="0" w:space="0" w:color="auto"/>
        <w:bottom w:val="none" w:sz="0" w:space="0" w:color="auto"/>
        <w:right w:val="none" w:sz="0" w:space="0" w:color="auto"/>
      </w:divBdr>
    </w:div>
    <w:div w:id="163054851">
      <w:bodyDiv w:val="1"/>
      <w:marLeft w:val="0"/>
      <w:marRight w:val="0"/>
      <w:marTop w:val="0"/>
      <w:marBottom w:val="0"/>
      <w:divBdr>
        <w:top w:val="none" w:sz="0" w:space="0" w:color="auto"/>
        <w:left w:val="none" w:sz="0" w:space="0" w:color="auto"/>
        <w:bottom w:val="none" w:sz="0" w:space="0" w:color="auto"/>
        <w:right w:val="none" w:sz="0" w:space="0" w:color="auto"/>
      </w:divBdr>
    </w:div>
    <w:div w:id="171604557">
      <w:bodyDiv w:val="1"/>
      <w:marLeft w:val="0"/>
      <w:marRight w:val="0"/>
      <w:marTop w:val="0"/>
      <w:marBottom w:val="0"/>
      <w:divBdr>
        <w:top w:val="none" w:sz="0" w:space="0" w:color="auto"/>
        <w:left w:val="none" w:sz="0" w:space="0" w:color="auto"/>
        <w:bottom w:val="none" w:sz="0" w:space="0" w:color="auto"/>
        <w:right w:val="none" w:sz="0" w:space="0" w:color="auto"/>
      </w:divBdr>
      <w:divsChild>
        <w:div w:id="25524268">
          <w:marLeft w:val="547"/>
          <w:marRight w:val="0"/>
          <w:marTop w:val="0"/>
          <w:marBottom w:val="0"/>
          <w:divBdr>
            <w:top w:val="none" w:sz="0" w:space="0" w:color="auto"/>
            <w:left w:val="none" w:sz="0" w:space="0" w:color="auto"/>
            <w:bottom w:val="none" w:sz="0" w:space="0" w:color="auto"/>
            <w:right w:val="none" w:sz="0" w:space="0" w:color="auto"/>
          </w:divBdr>
        </w:div>
        <w:div w:id="125199752">
          <w:marLeft w:val="547"/>
          <w:marRight w:val="0"/>
          <w:marTop w:val="0"/>
          <w:marBottom w:val="0"/>
          <w:divBdr>
            <w:top w:val="none" w:sz="0" w:space="0" w:color="auto"/>
            <w:left w:val="none" w:sz="0" w:space="0" w:color="auto"/>
            <w:bottom w:val="none" w:sz="0" w:space="0" w:color="auto"/>
            <w:right w:val="none" w:sz="0" w:space="0" w:color="auto"/>
          </w:divBdr>
        </w:div>
        <w:div w:id="133718119">
          <w:marLeft w:val="547"/>
          <w:marRight w:val="0"/>
          <w:marTop w:val="0"/>
          <w:marBottom w:val="0"/>
          <w:divBdr>
            <w:top w:val="none" w:sz="0" w:space="0" w:color="auto"/>
            <w:left w:val="none" w:sz="0" w:space="0" w:color="auto"/>
            <w:bottom w:val="none" w:sz="0" w:space="0" w:color="auto"/>
            <w:right w:val="none" w:sz="0" w:space="0" w:color="auto"/>
          </w:divBdr>
        </w:div>
        <w:div w:id="236207678">
          <w:marLeft w:val="547"/>
          <w:marRight w:val="0"/>
          <w:marTop w:val="0"/>
          <w:marBottom w:val="0"/>
          <w:divBdr>
            <w:top w:val="none" w:sz="0" w:space="0" w:color="auto"/>
            <w:left w:val="none" w:sz="0" w:space="0" w:color="auto"/>
            <w:bottom w:val="none" w:sz="0" w:space="0" w:color="auto"/>
            <w:right w:val="none" w:sz="0" w:space="0" w:color="auto"/>
          </w:divBdr>
        </w:div>
        <w:div w:id="273633490">
          <w:marLeft w:val="547"/>
          <w:marRight w:val="0"/>
          <w:marTop w:val="0"/>
          <w:marBottom w:val="0"/>
          <w:divBdr>
            <w:top w:val="none" w:sz="0" w:space="0" w:color="auto"/>
            <w:left w:val="none" w:sz="0" w:space="0" w:color="auto"/>
            <w:bottom w:val="none" w:sz="0" w:space="0" w:color="auto"/>
            <w:right w:val="none" w:sz="0" w:space="0" w:color="auto"/>
          </w:divBdr>
        </w:div>
        <w:div w:id="394668559">
          <w:marLeft w:val="547"/>
          <w:marRight w:val="0"/>
          <w:marTop w:val="0"/>
          <w:marBottom w:val="0"/>
          <w:divBdr>
            <w:top w:val="none" w:sz="0" w:space="0" w:color="auto"/>
            <w:left w:val="none" w:sz="0" w:space="0" w:color="auto"/>
            <w:bottom w:val="none" w:sz="0" w:space="0" w:color="auto"/>
            <w:right w:val="none" w:sz="0" w:space="0" w:color="auto"/>
          </w:divBdr>
        </w:div>
        <w:div w:id="534273650">
          <w:marLeft w:val="547"/>
          <w:marRight w:val="0"/>
          <w:marTop w:val="0"/>
          <w:marBottom w:val="0"/>
          <w:divBdr>
            <w:top w:val="none" w:sz="0" w:space="0" w:color="auto"/>
            <w:left w:val="none" w:sz="0" w:space="0" w:color="auto"/>
            <w:bottom w:val="none" w:sz="0" w:space="0" w:color="auto"/>
            <w:right w:val="none" w:sz="0" w:space="0" w:color="auto"/>
          </w:divBdr>
        </w:div>
        <w:div w:id="599532402">
          <w:marLeft w:val="547"/>
          <w:marRight w:val="0"/>
          <w:marTop w:val="0"/>
          <w:marBottom w:val="0"/>
          <w:divBdr>
            <w:top w:val="none" w:sz="0" w:space="0" w:color="auto"/>
            <w:left w:val="none" w:sz="0" w:space="0" w:color="auto"/>
            <w:bottom w:val="none" w:sz="0" w:space="0" w:color="auto"/>
            <w:right w:val="none" w:sz="0" w:space="0" w:color="auto"/>
          </w:divBdr>
        </w:div>
        <w:div w:id="618411168">
          <w:marLeft w:val="547"/>
          <w:marRight w:val="0"/>
          <w:marTop w:val="0"/>
          <w:marBottom w:val="0"/>
          <w:divBdr>
            <w:top w:val="none" w:sz="0" w:space="0" w:color="auto"/>
            <w:left w:val="none" w:sz="0" w:space="0" w:color="auto"/>
            <w:bottom w:val="none" w:sz="0" w:space="0" w:color="auto"/>
            <w:right w:val="none" w:sz="0" w:space="0" w:color="auto"/>
          </w:divBdr>
        </w:div>
        <w:div w:id="669065908">
          <w:marLeft w:val="547"/>
          <w:marRight w:val="0"/>
          <w:marTop w:val="0"/>
          <w:marBottom w:val="0"/>
          <w:divBdr>
            <w:top w:val="none" w:sz="0" w:space="0" w:color="auto"/>
            <w:left w:val="none" w:sz="0" w:space="0" w:color="auto"/>
            <w:bottom w:val="none" w:sz="0" w:space="0" w:color="auto"/>
            <w:right w:val="none" w:sz="0" w:space="0" w:color="auto"/>
          </w:divBdr>
        </w:div>
        <w:div w:id="734016174">
          <w:marLeft w:val="547"/>
          <w:marRight w:val="0"/>
          <w:marTop w:val="0"/>
          <w:marBottom w:val="0"/>
          <w:divBdr>
            <w:top w:val="none" w:sz="0" w:space="0" w:color="auto"/>
            <w:left w:val="none" w:sz="0" w:space="0" w:color="auto"/>
            <w:bottom w:val="none" w:sz="0" w:space="0" w:color="auto"/>
            <w:right w:val="none" w:sz="0" w:space="0" w:color="auto"/>
          </w:divBdr>
        </w:div>
        <w:div w:id="802120012">
          <w:marLeft w:val="547"/>
          <w:marRight w:val="0"/>
          <w:marTop w:val="0"/>
          <w:marBottom w:val="0"/>
          <w:divBdr>
            <w:top w:val="none" w:sz="0" w:space="0" w:color="auto"/>
            <w:left w:val="none" w:sz="0" w:space="0" w:color="auto"/>
            <w:bottom w:val="none" w:sz="0" w:space="0" w:color="auto"/>
            <w:right w:val="none" w:sz="0" w:space="0" w:color="auto"/>
          </w:divBdr>
        </w:div>
        <w:div w:id="805852072">
          <w:marLeft w:val="547"/>
          <w:marRight w:val="0"/>
          <w:marTop w:val="0"/>
          <w:marBottom w:val="0"/>
          <w:divBdr>
            <w:top w:val="none" w:sz="0" w:space="0" w:color="auto"/>
            <w:left w:val="none" w:sz="0" w:space="0" w:color="auto"/>
            <w:bottom w:val="none" w:sz="0" w:space="0" w:color="auto"/>
            <w:right w:val="none" w:sz="0" w:space="0" w:color="auto"/>
          </w:divBdr>
        </w:div>
        <w:div w:id="860775624">
          <w:marLeft w:val="547"/>
          <w:marRight w:val="0"/>
          <w:marTop w:val="0"/>
          <w:marBottom w:val="0"/>
          <w:divBdr>
            <w:top w:val="none" w:sz="0" w:space="0" w:color="auto"/>
            <w:left w:val="none" w:sz="0" w:space="0" w:color="auto"/>
            <w:bottom w:val="none" w:sz="0" w:space="0" w:color="auto"/>
            <w:right w:val="none" w:sz="0" w:space="0" w:color="auto"/>
          </w:divBdr>
        </w:div>
        <w:div w:id="966083756">
          <w:marLeft w:val="547"/>
          <w:marRight w:val="0"/>
          <w:marTop w:val="0"/>
          <w:marBottom w:val="0"/>
          <w:divBdr>
            <w:top w:val="none" w:sz="0" w:space="0" w:color="auto"/>
            <w:left w:val="none" w:sz="0" w:space="0" w:color="auto"/>
            <w:bottom w:val="none" w:sz="0" w:space="0" w:color="auto"/>
            <w:right w:val="none" w:sz="0" w:space="0" w:color="auto"/>
          </w:divBdr>
        </w:div>
        <w:div w:id="999962380">
          <w:marLeft w:val="547"/>
          <w:marRight w:val="0"/>
          <w:marTop w:val="0"/>
          <w:marBottom w:val="0"/>
          <w:divBdr>
            <w:top w:val="none" w:sz="0" w:space="0" w:color="auto"/>
            <w:left w:val="none" w:sz="0" w:space="0" w:color="auto"/>
            <w:bottom w:val="none" w:sz="0" w:space="0" w:color="auto"/>
            <w:right w:val="none" w:sz="0" w:space="0" w:color="auto"/>
          </w:divBdr>
        </w:div>
        <w:div w:id="1080177240">
          <w:marLeft w:val="547"/>
          <w:marRight w:val="0"/>
          <w:marTop w:val="0"/>
          <w:marBottom w:val="0"/>
          <w:divBdr>
            <w:top w:val="none" w:sz="0" w:space="0" w:color="auto"/>
            <w:left w:val="none" w:sz="0" w:space="0" w:color="auto"/>
            <w:bottom w:val="none" w:sz="0" w:space="0" w:color="auto"/>
            <w:right w:val="none" w:sz="0" w:space="0" w:color="auto"/>
          </w:divBdr>
        </w:div>
        <w:div w:id="1232232363">
          <w:marLeft w:val="547"/>
          <w:marRight w:val="0"/>
          <w:marTop w:val="0"/>
          <w:marBottom w:val="0"/>
          <w:divBdr>
            <w:top w:val="none" w:sz="0" w:space="0" w:color="auto"/>
            <w:left w:val="none" w:sz="0" w:space="0" w:color="auto"/>
            <w:bottom w:val="none" w:sz="0" w:space="0" w:color="auto"/>
            <w:right w:val="none" w:sz="0" w:space="0" w:color="auto"/>
          </w:divBdr>
        </w:div>
        <w:div w:id="1333728262">
          <w:marLeft w:val="547"/>
          <w:marRight w:val="0"/>
          <w:marTop w:val="0"/>
          <w:marBottom w:val="0"/>
          <w:divBdr>
            <w:top w:val="none" w:sz="0" w:space="0" w:color="auto"/>
            <w:left w:val="none" w:sz="0" w:space="0" w:color="auto"/>
            <w:bottom w:val="none" w:sz="0" w:space="0" w:color="auto"/>
            <w:right w:val="none" w:sz="0" w:space="0" w:color="auto"/>
          </w:divBdr>
        </w:div>
        <w:div w:id="1413745206">
          <w:marLeft w:val="547"/>
          <w:marRight w:val="0"/>
          <w:marTop w:val="0"/>
          <w:marBottom w:val="0"/>
          <w:divBdr>
            <w:top w:val="none" w:sz="0" w:space="0" w:color="auto"/>
            <w:left w:val="none" w:sz="0" w:space="0" w:color="auto"/>
            <w:bottom w:val="none" w:sz="0" w:space="0" w:color="auto"/>
            <w:right w:val="none" w:sz="0" w:space="0" w:color="auto"/>
          </w:divBdr>
        </w:div>
        <w:div w:id="1443646708">
          <w:marLeft w:val="547"/>
          <w:marRight w:val="0"/>
          <w:marTop w:val="0"/>
          <w:marBottom w:val="0"/>
          <w:divBdr>
            <w:top w:val="none" w:sz="0" w:space="0" w:color="auto"/>
            <w:left w:val="none" w:sz="0" w:space="0" w:color="auto"/>
            <w:bottom w:val="none" w:sz="0" w:space="0" w:color="auto"/>
            <w:right w:val="none" w:sz="0" w:space="0" w:color="auto"/>
          </w:divBdr>
        </w:div>
        <w:div w:id="1657957506">
          <w:marLeft w:val="547"/>
          <w:marRight w:val="0"/>
          <w:marTop w:val="0"/>
          <w:marBottom w:val="0"/>
          <w:divBdr>
            <w:top w:val="none" w:sz="0" w:space="0" w:color="auto"/>
            <w:left w:val="none" w:sz="0" w:space="0" w:color="auto"/>
            <w:bottom w:val="none" w:sz="0" w:space="0" w:color="auto"/>
            <w:right w:val="none" w:sz="0" w:space="0" w:color="auto"/>
          </w:divBdr>
        </w:div>
        <w:div w:id="1684284062">
          <w:marLeft w:val="547"/>
          <w:marRight w:val="0"/>
          <w:marTop w:val="0"/>
          <w:marBottom w:val="0"/>
          <w:divBdr>
            <w:top w:val="none" w:sz="0" w:space="0" w:color="auto"/>
            <w:left w:val="none" w:sz="0" w:space="0" w:color="auto"/>
            <w:bottom w:val="none" w:sz="0" w:space="0" w:color="auto"/>
            <w:right w:val="none" w:sz="0" w:space="0" w:color="auto"/>
          </w:divBdr>
        </w:div>
        <w:div w:id="1730884215">
          <w:marLeft w:val="547"/>
          <w:marRight w:val="0"/>
          <w:marTop w:val="0"/>
          <w:marBottom w:val="0"/>
          <w:divBdr>
            <w:top w:val="none" w:sz="0" w:space="0" w:color="auto"/>
            <w:left w:val="none" w:sz="0" w:space="0" w:color="auto"/>
            <w:bottom w:val="none" w:sz="0" w:space="0" w:color="auto"/>
            <w:right w:val="none" w:sz="0" w:space="0" w:color="auto"/>
          </w:divBdr>
        </w:div>
        <w:div w:id="1859612518">
          <w:marLeft w:val="547"/>
          <w:marRight w:val="0"/>
          <w:marTop w:val="0"/>
          <w:marBottom w:val="0"/>
          <w:divBdr>
            <w:top w:val="none" w:sz="0" w:space="0" w:color="auto"/>
            <w:left w:val="none" w:sz="0" w:space="0" w:color="auto"/>
            <w:bottom w:val="none" w:sz="0" w:space="0" w:color="auto"/>
            <w:right w:val="none" w:sz="0" w:space="0" w:color="auto"/>
          </w:divBdr>
        </w:div>
        <w:div w:id="1877424926">
          <w:marLeft w:val="547"/>
          <w:marRight w:val="0"/>
          <w:marTop w:val="0"/>
          <w:marBottom w:val="0"/>
          <w:divBdr>
            <w:top w:val="none" w:sz="0" w:space="0" w:color="auto"/>
            <w:left w:val="none" w:sz="0" w:space="0" w:color="auto"/>
            <w:bottom w:val="none" w:sz="0" w:space="0" w:color="auto"/>
            <w:right w:val="none" w:sz="0" w:space="0" w:color="auto"/>
          </w:divBdr>
        </w:div>
        <w:div w:id="1988316311">
          <w:marLeft w:val="547"/>
          <w:marRight w:val="0"/>
          <w:marTop w:val="0"/>
          <w:marBottom w:val="0"/>
          <w:divBdr>
            <w:top w:val="none" w:sz="0" w:space="0" w:color="auto"/>
            <w:left w:val="none" w:sz="0" w:space="0" w:color="auto"/>
            <w:bottom w:val="none" w:sz="0" w:space="0" w:color="auto"/>
            <w:right w:val="none" w:sz="0" w:space="0" w:color="auto"/>
          </w:divBdr>
        </w:div>
        <w:div w:id="2016373991">
          <w:marLeft w:val="547"/>
          <w:marRight w:val="0"/>
          <w:marTop w:val="0"/>
          <w:marBottom w:val="0"/>
          <w:divBdr>
            <w:top w:val="none" w:sz="0" w:space="0" w:color="auto"/>
            <w:left w:val="none" w:sz="0" w:space="0" w:color="auto"/>
            <w:bottom w:val="none" w:sz="0" w:space="0" w:color="auto"/>
            <w:right w:val="none" w:sz="0" w:space="0" w:color="auto"/>
          </w:divBdr>
        </w:div>
        <w:div w:id="2026666084">
          <w:marLeft w:val="547"/>
          <w:marRight w:val="0"/>
          <w:marTop w:val="0"/>
          <w:marBottom w:val="0"/>
          <w:divBdr>
            <w:top w:val="none" w:sz="0" w:space="0" w:color="auto"/>
            <w:left w:val="none" w:sz="0" w:space="0" w:color="auto"/>
            <w:bottom w:val="none" w:sz="0" w:space="0" w:color="auto"/>
            <w:right w:val="none" w:sz="0" w:space="0" w:color="auto"/>
          </w:divBdr>
        </w:div>
        <w:div w:id="2036687001">
          <w:marLeft w:val="547"/>
          <w:marRight w:val="0"/>
          <w:marTop w:val="0"/>
          <w:marBottom w:val="0"/>
          <w:divBdr>
            <w:top w:val="none" w:sz="0" w:space="0" w:color="auto"/>
            <w:left w:val="none" w:sz="0" w:space="0" w:color="auto"/>
            <w:bottom w:val="none" w:sz="0" w:space="0" w:color="auto"/>
            <w:right w:val="none" w:sz="0" w:space="0" w:color="auto"/>
          </w:divBdr>
        </w:div>
        <w:div w:id="2121950964">
          <w:marLeft w:val="547"/>
          <w:marRight w:val="0"/>
          <w:marTop w:val="0"/>
          <w:marBottom w:val="0"/>
          <w:divBdr>
            <w:top w:val="none" w:sz="0" w:space="0" w:color="auto"/>
            <w:left w:val="none" w:sz="0" w:space="0" w:color="auto"/>
            <w:bottom w:val="none" w:sz="0" w:space="0" w:color="auto"/>
            <w:right w:val="none" w:sz="0" w:space="0" w:color="auto"/>
          </w:divBdr>
        </w:div>
        <w:div w:id="2143380515">
          <w:marLeft w:val="547"/>
          <w:marRight w:val="0"/>
          <w:marTop w:val="0"/>
          <w:marBottom w:val="0"/>
          <w:divBdr>
            <w:top w:val="none" w:sz="0" w:space="0" w:color="auto"/>
            <w:left w:val="none" w:sz="0" w:space="0" w:color="auto"/>
            <w:bottom w:val="none" w:sz="0" w:space="0" w:color="auto"/>
            <w:right w:val="none" w:sz="0" w:space="0" w:color="auto"/>
          </w:divBdr>
        </w:div>
      </w:divsChild>
    </w:div>
    <w:div w:id="190345998">
      <w:bodyDiv w:val="1"/>
      <w:marLeft w:val="0"/>
      <w:marRight w:val="0"/>
      <w:marTop w:val="0"/>
      <w:marBottom w:val="0"/>
      <w:divBdr>
        <w:top w:val="none" w:sz="0" w:space="0" w:color="auto"/>
        <w:left w:val="none" w:sz="0" w:space="0" w:color="auto"/>
        <w:bottom w:val="none" w:sz="0" w:space="0" w:color="auto"/>
        <w:right w:val="none" w:sz="0" w:space="0" w:color="auto"/>
      </w:divBdr>
    </w:div>
    <w:div w:id="237831408">
      <w:bodyDiv w:val="1"/>
      <w:marLeft w:val="0"/>
      <w:marRight w:val="0"/>
      <w:marTop w:val="0"/>
      <w:marBottom w:val="0"/>
      <w:divBdr>
        <w:top w:val="none" w:sz="0" w:space="0" w:color="auto"/>
        <w:left w:val="none" w:sz="0" w:space="0" w:color="auto"/>
        <w:bottom w:val="none" w:sz="0" w:space="0" w:color="auto"/>
        <w:right w:val="none" w:sz="0" w:space="0" w:color="auto"/>
      </w:divBdr>
    </w:div>
    <w:div w:id="240220301">
      <w:bodyDiv w:val="1"/>
      <w:marLeft w:val="0"/>
      <w:marRight w:val="0"/>
      <w:marTop w:val="0"/>
      <w:marBottom w:val="0"/>
      <w:divBdr>
        <w:top w:val="none" w:sz="0" w:space="0" w:color="auto"/>
        <w:left w:val="none" w:sz="0" w:space="0" w:color="auto"/>
        <w:bottom w:val="none" w:sz="0" w:space="0" w:color="auto"/>
        <w:right w:val="none" w:sz="0" w:space="0" w:color="auto"/>
      </w:divBdr>
    </w:div>
    <w:div w:id="263072966">
      <w:bodyDiv w:val="1"/>
      <w:marLeft w:val="0"/>
      <w:marRight w:val="0"/>
      <w:marTop w:val="0"/>
      <w:marBottom w:val="0"/>
      <w:divBdr>
        <w:top w:val="none" w:sz="0" w:space="0" w:color="auto"/>
        <w:left w:val="none" w:sz="0" w:space="0" w:color="auto"/>
        <w:bottom w:val="none" w:sz="0" w:space="0" w:color="auto"/>
        <w:right w:val="none" w:sz="0" w:space="0" w:color="auto"/>
      </w:divBdr>
      <w:divsChild>
        <w:div w:id="568417030">
          <w:marLeft w:val="274"/>
          <w:marRight w:val="0"/>
          <w:marTop w:val="0"/>
          <w:marBottom w:val="0"/>
          <w:divBdr>
            <w:top w:val="none" w:sz="0" w:space="0" w:color="auto"/>
            <w:left w:val="none" w:sz="0" w:space="0" w:color="auto"/>
            <w:bottom w:val="none" w:sz="0" w:space="0" w:color="auto"/>
            <w:right w:val="none" w:sz="0" w:space="0" w:color="auto"/>
          </w:divBdr>
        </w:div>
        <w:div w:id="1223443602">
          <w:marLeft w:val="274"/>
          <w:marRight w:val="0"/>
          <w:marTop w:val="0"/>
          <w:marBottom w:val="0"/>
          <w:divBdr>
            <w:top w:val="none" w:sz="0" w:space="0" w:color="auto"/>
            <w:left w:val="none" w:sz="0" w:space="0" w:color="auto"/>
            <w:bottom w:val="none" w:sz="0" w:space="0" w:color="auto"/>
            <w:right w:val="none" w:sz="0" w:space="0" w:color="auto"/>
          </w:divBdr>
        </w:div>
        <w:div w:id="1804230281">
          <w:marLeft w:val="274"/>
          <w:marRight w:val="0"/>
          <w:marTop w:val="0"/>
          <w:marBottom w:val="0"/>
          <w:divBdr>
            <w:top w:val="none" w:sz="0" w:space="0" w:color="auto"/>
            <w:left w:val="none" w:sz="0" w:space="0" w:color="auto"/>
            <w:bottom w:val="none" w:sz="0" w:space="0" w:color="auto"/>
            <w:right w:val="none" w:sz="0" w:space="0" w:color="auto"/>
          </w:divBdr>
        </w:div>
      </w:divsChild>
    </w:div>
    <w:div w:id="281152441">
      <w:bodyDiv w:val="1"/>
      <w:marLeft w:val="0"/>
      <w:marRight w:val="0"/>
      <w:marTop w:val="0"/>
      <w:marBottom w:val="0"/>
      <w:divBdr>
        <w:top w:val="none" w:sz="0" w:space="0" w:color="auto"/>
        <w:left w:val="none" w:sz="0" w:space="0" w:color="auto"/>
        <w:bottom w:val="none" w:sz="0" w:space="0" w:color="auto"/>
        <w:right w:val="none" w:sz="0" w:space="0" w:color="auto"/>
      </w:divBdr>
    </w:div>
    <w:div w:id="287198812">
      <w:bodyDiv w:val="1"/>
      <w:marLeft w:val="0"/>
      <w:marRight w:val="0"/>
      <w:marTop w:val="0"/>
      <w:marBottom w:val="0"/>
      <w:divBdr>
        <w:top w:val="none" w:sz="0" w:space="0" w:color="auto"/>
        <w:left w:val="none" w:sz="0" w:space="0" w:color="auto"/>
        <w:bottom w:val="none" w:sz="0" w:space="0" w:color="auto"/>
        <w:right w:val="none" w:sz="0" w:space="0" w:color="auto"/>
      </w:divBdr>
    </w:div>
    <w:div w:id="313340169">
      <w:bodyDiv w:val="1"/>
      <w:marLeft w:val="0"/>
      <w:marRight w:val="0"/>
      <w:marTop w:val="0"/>
      <w:marBottom w:val="0"/>
      <w:divBdr>
        <w:top w:val="none" w:sz="0" w:space="0" w:color="auto"/>
        <w:left w:val="none" w:sz="0" w:space="0" w:color="auto"/>
        <w:bottom w:val="none" w:sz="0" w:space="0" w:color="auto"/>
        <w:right w:val="none" w:sz="0" w:space="0" w:color="auto"/>
      </w:divBdr>
    </w:div>
    <w:div w:id="332494941">
      <w:bodyDiv w:val="1"/>
      <w:marLeft w:val="0"/>
      <w:marRight w:val="0"/>
      <w:marTop w:val="0"/>
      <w:marBottom w:val="0"/>
      <w:divBdr>
        <w:top w:val="none" w:sz="0" w:space="0" w:color="auto"/>
        <w:left w:val="none" w:sz="0" w:space="0" w:color="auto"/>
        <w:bottom w:val="none" w:sz="0" w:space="0" w:color="auto"/>
        <w:right w:val="none" w:sz="0" w:space="0" w:color="auto"/>
      </w:divBdr>
    </w:div>
    <w:div w:id="384959801">
      <w:bodyDiv w:val="1"/>
      <w:marLeft w:val="0"/>
      <w:marRight w:val="0"/>
      <w:marTop w:val="0"/>
      <w:marBottom w:val="0"/>
      <w:divBdr>
        <w:top w:val="none" w:sz="0" w:space="0" w:color="auto"/>
        <w:left w:val="none" w:sz="0" w:space="0" w:color="auto"/>
        <w:bottom w:val="none" w:sz="0" w:space="0" w:color="auto"/>
        <w:right w:val="none" w:sz="0" w:space="0" w:color="auto"/>
      </w:divBdr>
      <w:divsChild>
        <w:div w:id="1063257377">
          <w:marLeft w:val="274"/>
          <w:marRight w:val="0"/>
          <w:marTop w:val="0"/>
          <w:marBottom w:val="0"/>
          <w:divBdr>
            <w:top w:val="none" w:sz="0" w:space="0" w:color="auto"/>
            <w:left w:val="none" w:sz="0" w:space="0" w:color="auto"/>
            <w:bottom w:val="none" w:sz="0" w:space="0" w:color="auto"/>
            <w:right w:val="none" w:sz="0" w:space="0" w:color="auto"/>
          </w:divBdr>
        </w:div>
        <w:div w:id="1065761468">
          <w:marLeft w:val="274"/>
          <w:marRight w:val="0"/>
          <w:marTop w:val="0"/>
          <w:marBottom w:val="0"/>
          <w:divBdr>
            <w:top w:val="none" w:sz="0" w:space="0" w:color="auto"/>
            <w:left w:val="none" w:sz="0" w:space="0" w:color="auto"/>
            <w:bottom w:val="none" w:sz="0" w:space="0" w:color="auto"/>
            <w:right w:val="none" w:sz="0" w:space="0" w:color="auto"/>
          </w:divBdr>
        </w:div>
        <w:div w:id="1585456017">
          <w:marLeft w:val="274"/>
          <w:marRight w:val="0"/>
          <w:marTop w:val="0"/>
          <w:marBottom w:val="0"/>
          <w:divBdr>
            <w:top w:val="none" w:sz="0" w:space="0" w:color="auto"/>
            <w:left w:val="none" w:sz="0" w:space="0" w:color="auto"/>
            <w:bottom w:val="none" w:sz="0" w:space="0" w:color="auto"/>
            <w:right w:val="none" w:sz="0" w:space="0" w:color="auto"/>
          </w:divBdr>
        </w:div>
      </w:divsChild>
    </w:div>
    <w:div w:id="419299601">
      <w:bodyDiv w:val="1"/>
      <w:marLeft w:val="0"/>
      <w:marRight w:val="0"/>
      <w:marTop w:val="0"/>
      <w:marBottom w:val="0"/>
      <w:divBdr>
        <w:top w:val="none" w:sz="0" w:space="0" w:color="auto"/>
        <w:left w:val="none" w:sz="0" w:space="0" w:color="auto"/>
        <w:bottom w:val="none" w:sz="0" w:space="0" w:color="auto"/>
        <w:right w:val="none" w:sz="0" w:space="0" w:color="auto"/>
      </w:divBdr>
    </w:div>
    <w:div w:id="443695247">
      <w:bodyDiv w:val="1"/>
      <w:marLeft w:val="0"/>
      <w:marRight w:val="0"/>
      <w:marTop w:val="0"/>
      <w:marBottom w:val="0"/>
      <w:divBdr>
        <w:top w:val="none" w:sz="0" w:space="0" w:color="auto"/>
        <w:left w:val="none" w:sz="0" w:space="0" w:color="auto"/>
        <w:bottom w:val="none" w:sz="0" w:space="0" w:color="auto"/>
        <w:right w:val="none" w:sz="0" w:space="0" w:color="auto"/>
      </w:divBdr>
    </w:div>
    <w:div w:id="468285744">
      <w:bodyDiv w:val="1"/>
      <w:marLeft w:val="0"/>
      <w:marRight w:val="0"/>
      <w:marTop w:val="0"/>
      <w:marBottom w:val="0"/>
      <w:divBdr>
        <w:top w:val="none" w:sz="0" w:space="0" w:color="auto"/>
        <w:left w:val="none" w:sz="0" w:space="0" w:color="auto"/>
        <w:bottom w:val="none" w:sz="0" w:space="0" w:color="auto"/>
        <w:right w:val="none" w:sz="0" w:space="0" w:color="auto"/>
      </w:divBdr>
    </w:div>
    <w:div w:id="501312939">
      <w:bodyDiv w:val="1"/>
      <w:marLeft w:val="0"/>
      <w:marRight w:val="0"/>
      <w:marTop w:val="0"/>
      <w:marBottom w:val="0"/>
      <w:divBdr>
        <w:top w:val="none" w:sz="0" w:space="0" w:color="auto"/>
        <w:left w:val="none" w:sz="0" w:space="0" w:color="auto"/>
        <w:bottom w:val="none" w:sz="0" w:space="0" w:color="auto"/>
        <w:right w:val="none" w:sz="0" w:space="0" w:color="auto"/>
      </w:divBdr>
    </w:div>
    <w:div w:id="512568740">
      <w:bodyDiv w:val="1"/>
      <w:marLeft w:val="0"/>
      <w:marRight w:val="0"/>
      <w:marTop w:val="0"/>
      <w:marBottom w:val="0"/>
      <w:divBdr>
        <w:top w:val="none" w:sz="0" w:space="0" w:color="auto"/>
        <w:left w:val="none" w:sz="0" w:space="0" w:color="auto"/>
        <w:bottom w:val="none" w:sz="0" w:space="0" w:color="auto"/>
        <w:right w:val="none" w:sz="0" w:space="0" w:color="auto"/>
      </w:divBdr>
    </w:div>
    <w:div w:id="513570297">
      <w:bodyDiv w:val="1"/>
      <w:marLeft w:val="0"/>
      <w:marRight w:val="0"/>
      <w:marTop w:val="0"/>
      <w:marBottom w:val="0"/>
      <w:divBdr>
        <w:top w:val="none" w:sz="0" w:space="0" w:color="auto"/>
        <w:left w:val="none" w:sz="0" w:space="0" w:color="auto"/>
        <w:bottom w:val="none" w:sz="0" w:space="0" w:color="auto"/>
        <w:right w:val="none" w:sz="0" w:space="0" w:color="auto"/>
      </w:divBdr>
    </w:div>
    <w:div w:id="518084051">
      <w:bodyDiv w:val="1"/>
      <w:marLeft w:val="0"/>
      <w:marRight w:val="0"/>
      <w:marTop w:val="0"/>
      <w:marBottom w:val="0"/>
      <w:divBdr>
        <w:top w:val="none" w:sz="0" w:space="0" w:color="auto"/>
        <w:left w:val="none" w:sz="0" w:space="0" w:color="auto"/>
        <w:bottom w:val="none" w:sz="0" w:space="0" w:color="auto"/>
        <w:right w:val="none" w:sz="0" w:space="0" w:color="auto"/>
      </w:divBdr>
    </w:div>
    <w:div w:id="565921134">
      <w:bodyDiv w:val="1"/>
      <w:marLeft w:val="0"/>
      <w:marRight w:val="0"/>
      <w:marTop w:val="0"/>
      <w:marBottom w:val="0"/>
      <w:divBdr>
        <w:top w:val="none" w:sz="0" w:space="0" w:color="auto"/>
        <w:left w:val="none" w:sz="0" w:space="0" w:color="auto"/>
        <w:bottom w:val="none" w:sz="0" w:space="0" w:color="auto"/>
        <w:right w:val="none" w:sz="0" w:space="0" w:color="auto"/>
      </w:divBdr>
      <w:divsChild>
        <w:div w:id="170604995">
          <w:marLeft w:val="1440"/>
          <w:marRight w:val="0"/>
          <w:marTop w:val="77"/>
          <w:marBottom w:val="0"/>
          <w:divBdr>
            <w:top w:val="none" w:sz="0" w:space="0" w:color="auto"/>
            <w:left w:val="none" w:sz="0" w:space="0" w:color="auto"/>
            <w:bottom w:val="none" w:sz="0" w:space="0" w:color="auto"/>
            <w:right w:val="none" w:sz="0" w:space="0" w:color="auto"/>
          </w:divBdr>
        </w:div>
        <w:div w:id="369574140">
          <w:marLeft w:val="1440"/>
          <w:marRight w:val="0"/>
          <w:marTop w:val="77"/>
          <w:marBottom w:val="0"/>
          <w:divBdr>
            <w:top w:val="none" w:sz="0" w:space="0" w:color="auto"/>
            <w:left w:val="none" w:sz="0" w:space="0" w:color="auto"/>
            <w:bottom w:val="none" w:sz="0" w:space="0" w:color="auto"/>
            <w:right w:val="none" w:sz="0" w:space="0" w:color="auto"/>
          </w:divBdr>
        </w:div>
        <w:div w:id="1432626079">
          <w:marLeft w:val="1440"/>
          <w:marRight w:val="0"/>
          <w:marTop w:val="77"/>
          <w:marBottom w:val="0"/>
          <w:divBdr>
            <w:top w:val="none" w:sz="0" w:space="0" w:color="auto"/>
            <w:left w:val="none" w:sz="0" w:space="0" w:color="auto"/>
            <w:bottom w:val="none" w:sz="0" w:space="0" w:color="auto"/>
            <w:right w:val="none" w:sz="0" w:space="0" w:color="auto"/>
          </w:divBdr>
        </w:div>
        <w:div w:id="1872571301">
          <w:marLeft w:val="1440"/>
          <w:marRight w:val="0"/>
          <w:marTop w:val="77"/>
          <w:marBottom w:val="0"/>
          <w:divBdr>
            <w:top w:val="none" w:sz="0" w:space="0" w:color="auto"/>
            <w:left w:val="none" w:sz="0" w:space="0" w:color="auto"/>
            <w:bottom w:val="none" w:sz="0" w:space="0" w:color="auto"/>
            <w:right w:val="none" w:sz="0" w:space="0" w:color="auto"/>
          </w:divBdr>
        </w:div>
      </w:divsChild>
    </w:div>
    <w:div w:id="576745796">
      <w:bodyDiv w:val="1"/>
      <w:marLeft w:val="0"/>
      <w:marRight w:val="0"/>
      <w:marTop w:val="0"/>
      <w:marBottom w:val="0"/>
      <w:divBdr>
        <w:top w:val="none" w:sz="0" w:space="0" w:color="auto"/>
        <w:left w:val="none" w:sz="0" w:space="0" w:color="auto"/>
        <w:bottom w:val="none" w:sz="0" w:space="0" w:color="auto"/>
        <w:right w:val="none" w:sz="0" w:space="0" w:color="auto"/>
      </w:divBdr>
    </w:div>
    <w:div w:id="614485628">
      <w:bodyDiv w:val="1"/>
      <w:marLeft w:val="0"/>
      <w:marRight w:val="0"/>
      <w:marTop w:val="0"/>
      <w:marBottom w:val="0"/>
      <w:divBdr>
        <w:top w:val="none" w:sz="0" w:space="0" w:color="auto"/>
        <w:left w:val="none" w:sz="0" w:space="0" w:color="auto"/>
        <w:bottom w:val="none" w:sz="0" w:space="0" w:color="auto"/>
        <w:right w:val="none" w:sz="0" w:space="0" w:color="auto"/>
      </w:divBdr>
    </w:div>
    <w:div w:id="634481643">
      <w:bodyDiv w:val="1"/>
      <w:marLeft w:val="0"/>
      <w:marRight w:val="0"/>
      <w:marTop w:val="0"/>
      <w:marBottom w:val="0"/>
      <w:divBdr>
        <w:top w:val="none" w:sz="0" w:space="0" w:color="auto"/>
        <w:left w:val="none" w:sz="0" w:space="0" w:color="auto"/>
        <w:bottom w:val="none" w:sz="0" w:space="0" w:color="auto"/>
        <w:right w:val="none" w:sz="0" w:space="0" w:color="auto"/>
      </w:divBdr>
    </w:div>
    <w:div w:id="636378341">
      <w:bodyDiv w:val="1"/>
      <w:marLeft w:val="0"/>
      <w:marRight w:val="0"/>
      <w:marTop w:val="0"/>
      <w:marBottom w:val="0"/>
      <w:divBdr>
        <w:top w:val="none" w:sz="0" w:space="0" w:color="auto"/>
        <w:left w:val="none" w:sz="0" w:space="0" w:color="auto"/>
        <w:bottom w:val="none" w:sz="0" w:space="0" w:color="auto"/>
        <w:right w:val="none" w:sz="0" w:space="0" w:color="auto"/>
      </w:divBdr>
    </w:div>
    <w:div w:id="643121802">
      <w:bodyDiv w:val="1"/>
      <w:marLeft w:val="0"/>
      <w:marRight w:val="0"/>
      <w:marTop w:val="0"/>
      <w:marBottom w:val="0"/>
      <w:divBdr>
        <w:top w:val="none" w:sz="0" w:space="0" w:color="auto"/>
        <w:left w:val="none" w:sz="0" w:space="0" w:color="auto"/>
        <w:bottom w:val="none" w:sz="0" w:space="0" w:color="auto"/>
        <w:right w:val="none" w:sz="0" w:space="0" w:color="auto"/>
      </w:divBdr>
    </w:div>
    <w:div w:id="645083659">
      <w:bodyDiv w:val="1"/>
      <w:marLeft w:val="0"/>
      <w:marRight w:val="0"/>
      <w:marTop w:val="0"/>
      <w:marBottom w:val="0"/>
      <w:divBdr>
        <w:top w:val="none" w:sz="0" w:space="0" w:color="auto"/>
        <w:left w:val="none" w:sz="0" w:space="0" w:color="auto"/>
        <w:bottom w:val="none" w:sz="0" w:space="0" w:color="auto"/>
        <w:right w:val="none" w:sz="0" w:space="0" w:color="auto"/>
      </w:divBdr>
    </w:div>
    <w:div w:id="663582042">
      <w:bodyDiv w:val="1"/>
      <w:marLeft w:val="0"/>
      <w:marRight w:val="0"/>
      <w:marTop w:val="0"/>
      <w:marBottom w:val="0"/>
      <w:divBdr>
        <w:top w:val="none" w:sz="0" w:space="0" w:color="auto"/>
        <w:left w:val="none" w:sz="0" w:space="0" w:color="auto"/>
        <w:bottom w:val="none" w:sz="0" w:space="0" w:color="auto"/>
        <w:right w:val="none" w:sz="0" w:space="0" w:color="auto"/>
      </w:divBdr>
    </w:div>
    <w:div w:id="678198598">
      <w:bodyDiv w:val="1"/>
      <w:marLeft w:val="0"/>
      <w:marRight w:val="0"/>
      <w:marTop w:val="0"/>
      <w:marBottom w:val="0"/>
      <w:divBdr>
        <w:top w:val="none" w:sz="0" w:space="0" w:color="auto"/>
        <w:left w:val="none" w:sz="0" w:space="0" w:color="auto"/>
        <w:bottom w:val="none" w:sz="0" w:space="0" w:color="auto"/>
        <w:right w:val="none" w:sz="0" w:space="0" w:color="auto"/>
      </w:divBdr>
      <w:divsChild>
        <w:div w:id="67773784">
          <w:marLeft w:val="346"/>
          <w:marRight w:val="0"/>
          <w:marTop w:val="60"/>
          <w:marBottom w:val="60"/>
          <w:divBdr>
            <w:top w:val="none" w:sz="0" w:space="0" w:color="auto"/>
            <w:left w:val="none" w:sz="0" w:space="0" w:color="auto"/>
            <w:bottom w:val="none" w:sz="0" w:space="0" w:color="auto"/>
            <w:right w:val="none" w:sz="0" w:space="0" w:color="auto"/>
          </w:divBdr>
        </w:div>
        <w:div w:id="1150945701">
          <w:marLeft w:val="346"/>
          <w:marRight w:val="0"/>
          <w:marTop w:val="60"/>
          <w:marBottom w:val="60"/>
          <w:divBdr>
            <w:top w:val="none" w:sz="0" w:space="0" w:color="auto"/>
            <w:left w:val="none" w:sz="0" w:space="0" w:color="auto"/>
            <w:bottom w:val="none" w:sz="0" w:space="0" w:color="auto"/>
            <w:right w:val="none" w:sz="0" w:space="0" w:color="auto"/>
          </w:divBdr>
        </w:div>
      </w:divsChild>
    </w:div>
    <w:div w:id="697269677">
      <w:bodyDiv w:val="1"/>
      <w:marLeft w:val="0"/>
      <w:marRight w:val="0"/>
      <w:marTop w:val="0"/>
      <w:marBottom w:val="0"/>
      <w:divBdr>
        <w:top w:val="none" w:sz="0" w:space="0" w:color="auto"/>
        <w:left w:val="none" w:sz="0" w:space="0" w:color="auto"/>
        <w:bottom w:val="none" w:sz="0" w:space="0" w:color="auto"/>
        <w:right w:val="none" w:sz="0" w:space="0" w:color="auto"/>
      </w:divBdr>
    </w:div>
    <w:div w:id="698044296">
      <w:bodyDiv w:val="1"/>
      <w:marLeft w:val="0"/>
      <w:marRight w:val="0"/>
      <w:marTop w:val="0"/>
      <w:marBottom w:val="0"/>
      <w:divBdr>
        <w:top w:val="none" w:sz="0" w:space="0" w:color="auto"/>
        <w:left w:val="none" w:sz="0" w:space="0" w:color="auto"/>
        <w:bottom w:val="none" w:sz="0" w:space="0" w:color="auto"/>
        <w:right w:val="none" w:sz="0" w:space="0" w:color="auto"/>
      </w:divBdr>
    </w:div>
    <w:div w:id="703138921">
      <w:bodyDiv w:val="1"/>
      <w:marLeft w:val="0"/>
      <w:marRight w:val="0"/>
      <w:marTop w:val="0"/>
      <w:marBottom w:val="0"/>
      <w:divBdr>
        <w:top w:val="none" w:sz="0" w:space="0" w:color="auto"/>
        <w:left w:val="none" w:sz="0" w:space="0" w:color="auto"/>
        <w:bottom w:val="none" w:sz="0" w:space="0" w:color="auto"/>
        <w:right w:val="none" w:sz="0" w:space="0" w:color="auto"/>
      </w:divBdr>
    </w:div>
    <w:div w:id="744644831">
      <w:bodyDiv w:val="1"/>
      <w:marLeft w:val="0"/>
      <w:marRight w:val="0"/>
      <w:marTop w:val="0"/>
      <w:marBottom w:val="0"/>
      <w:divBdr>
        <w:top w:val="none" w:sz="0" w:space="0" w:color="auto"/>
        <w:left w:val="none" w:sz="0" w:space="0" w:color="auto"/>
        <w:bottom w:val="none" w:sz="0" w:space="0" w:color="auto"/>
        <w:right w:val="none" w:sz="0" w:space="0" w:color="auto"/>
      </w:divBdr>
      <w:divsChild>
        <w:div w:id="411900668">
          <w:marLeft w:val="1166"/>
          <w:marRight w:val="0"/>
          <w:marTop w:val="360"/>
          <w:marBottom w:val="0"/>
          <w:divBdr>
            <w:top w:val="none" w:sz="0" w:space="0" w:color="auto"/>
            <w:left w:val="none" w:sz="0" w:space="0" w:color="auto"/>
            <w:bottom w:val="none" w:sz="0" w:space="0" w:color="auto"/>
            <w:right w:val="none" w:sz="0" w:space="0" w:color="auto"/>
          </w:divBdr>
        </w:div>
        <w:div w:id="1049036852">
          <w:marLeft w:val="1166"/>
          <w:marRight w:val="0"/>
          <w:marTop w:val="360"/>
          <w:marBottom w:val="0"/>
          <w:divBdr>
            <w:top w:val="none" w:sz="0" w:space="0" w:color="auto"/>
            <w:left w:val="none" w:sz="0" w:space="0" w:color="auto"/>
            <w:bottom w:val="none" w:sz="0" w:space="0" w:color="auto"/>
            <w:right w:val="none" w:sz="0" w:space="0" w:color="auto"/>
          </w:divBdr>
        </w:div>
        <w:div w:id="1144276421">
          <w:marLeft w:val="446"/>
          <w:marRight w:val="0"/>
          <w:marTop w:val="86"/>
          <w:marBottom w:val="0"/>
          <w:divBdr>
            <w:top w:val="none" w:sz="0" w:space="0" w:color="auto"/>
            <w:left w:val="none" w:sz="0" w:space="0" w:color="auto"/>
            <w:bottom w:val="none" w:sz="0" w:space="0" w:color="auto"/>
            <w:right w:val="none" w:sz="0" w:space="0" w:color="auto"/>
          </w:divBdr>
        </w:div>
        <w:div w:id="1627587867">
          <w:marLeft w:val="1166"/>
          <w:marRight w:val="0"/>
          <w:marTop w:val="360"/>
          <w:marBottom w:val="0"/>
          <w:divBdr>
            <w:top w:val="none" w:sz="0" w:space="0" w:color="auto"/>
            <w:left w:val="none" w:sz="0" w:space="0" w:color="auto"/>
            <w:bottom w:val="none" w:sz="0" w:space="0" w:color="auto"/>
            <w:right w:val="none" w:sz="0" w:space="0" w:color="auto"/>
          </w:divBdr>
        </w:div>
        <w:div w:id="1661735537">
          <w:marLeft w:val="446"/>
          <w:marRight w:val="0"/>
          <w:marTop w:val="360"/>
          <w:marBottom w:val="0"/>
          <w:divBdr>
            <w:top w:val="none" w:sz="0" w:space="0" w:color="auto"/>
            <w:left w:val="none" w:sz="0" w:space="0" w:color="auto"/>
            <w:bottom w:val="none" w:sz="0" w:space="0" w:color="auto"/>
            <w:right w:val="none" w:sz="0" w:space="0" w:color="auto"/>
          </w:divBdr>
        </w:div>
      </w:divsChild>
    </w:div>
    <w:div w:id="751658593">
      <w:bodyDiv w:val="1"/>
      <w:marLeft w:val="0"/>
      <w:marRight w:val="0"/>
      <w:marTop w:val="0"/>
      <w:marBottom w:val="0"/>
      <w:divBdr>
        <w:top w:val="none" w:sz="0" w:space="0" w:color="auto"/>
        <w:left w:val="none" w:sz="0" w:space="0" w:color="auto"/>
        <w:bottom w:val="none" w:sz="0" w:space="0" w:color="auto"/>
        <w:right w:val="none" w:sz="0" w:space="0" w:color="auto"/>
      </w:divBdr>
    </w:div>
    <w:div w:id="755053642">
      <w:bodyDiv w:val="1"/>
      <w:marLeft w:val="0"/>
      <w:marRight w:val="0"/>
      <w:marTop w:val="0"/>
      <w:marBottom w:val="0"/>
      <w:divBdr>
        <w:top w:val="none" w:sz="0" w:space="0" w:color="auto"/>
        <w:left w:val="none" w:sz="0" w:space="0" w:color="auto"/>
        <w:bottom w:val="none" w:sz="0" w:space="0" w:color="auto"/>
        <w:right w:val="none" w:sz="0" w:space="0" w:color="auto"/>
      </w:divBdr>
    </w:div>
    <w:div w:id="772700848">
      <w:bodyDiv w:val="1"/>
      <w:marLeft w:val="0"/>
      <w:marRight w:val="0"/>
      <w:marTop w:val="0"/>
      <w:marBottom w:val="0"/>
      <w:divBdr>
        <w:top w:val="none" w:sz="0" w:space="0" w:color="auto"/>
        <w:left w:val="none" w:sz="0" w:space="0" w:color="auto"/>
        <w:bottom w:val="none" w:sz="0" w:space="0" w:color="auto"/>
        <w:right w:val="none" w:sz="0" w:space="0" w:color="auto"/>
      </w:divBdr>
      <w:divsChild>
        <w:div w:id="299500640">
          <w:marLeft w:val="1166"/>
          <w:marRight w:val="0"/>
          <w:marTop w:val="360"/>
          <w:marBottom w:val="0"/>
          <w:divBdr>
            <w:top w:val="none" w:sz="0" w:space="0" w:color="auto"/>
            <w:left w:val="none" w:sz="0" w:space="0" w:color="auto"/>
            <w:bottom w:val="none" w:sz="0" w:space="0" w:color="auto"/>
            <w:right w:val="none" w:sz="0" w:space="0" w:color="auto"/>
          </w:divBdr>
        </w:div>
        <w:div w:id="1325473975">
          <w:marLeft w:val="1166"/>
          <w:marRight w:val="0"/>
          <w:marTop w:val="360"/>
          <w:marBottom w:val="0"/>
          <w:divBdr>
            <w:top w:val="none" w:sz="0" w:space="0" w:color="auto"/>
            <w:left w:val="none" w:sz="0" w:space="0" w:color="auto"/>
            <w:bottom w:val="none" w:sz="0" w:space="0" w:color="auto"/>
            <w:right w:val="none" w:sz="0" w:space="0" w:color="auto"/>
          </w:divBdr>
        </w:div>
      </w:divsChild>
    </w:div>
    <w:div w:id="798887192">
      <w:bodyDiv w:val="1"/>
      <w:marLeft w:val="0"/>
      <w:marRight w:val="0"/>
      <w:marTop w:val="0"/>
      <w:marBottom w:val="0"/>
      <w:divBdr>
        <w:top w:val="none" w:sz="0" w:space="0" w:color="auto"/>
        <w:left w:val="none" w:sz="0" w:space="0" w:color="auto"/>
        <w:bottom w:val="none" w:sz="0" w:space="0" w:color="auto"/>
        <w:right w:val="none" w:sz="0" w:space="0" w:color="auto"/>
      </w:divBdr>
    </w:div>
    <w:div w:id="823620436">
      <w:bodyDiv w:val="1"/>
      <w:marLeft w:val="0"/>
      <w:marRight w:val="0"/>
      <w:marTop w:val="0"/>
      <w:marBottom w:val="0"/>
      <w:divBdr>
        <w:top w:val="none" w:sz="0" w:space="0" w:color="auto"/>
        <w:left w:val="none" w:sz="0" w:space="0" w:color="auto"/>
        <w:bottom w:val="none" w:sz="0" w:space="0" w:color="auto"/>
        <w:right w:val="none" w:sz="0" w:space="0" w:color="auto"/>
      </w:divBdr>
    </w:div>
    <w:div w:id="831801048">
      <w:bodyDiv w:val="1"/>
      <w:marLeft w:val="0"/>
      <w:marRight w:val="0"/>
      <w:marTop w:val="0"/>
      <w:marBottom w:val="0"/>
      <w:divBdr>
        <w:top w:val="none" w:sz="0" w:space="0" w:color="auto"/>
        <w:left w:val="none" w:sz="0" w:space="0" w:color="auto"/>
        <w:bottom w:val="none" w:sz="0" w:space="0" w:color="auto"/>
        <w:right w:val="none" w:sz="0" w:space="0" w:color="auto"/>
      </w:divBdr>
      <w:divsChild>
        <w:div w:id="194850121">
          <w:marLeft w:val="547"/>
          <w:marRight w:val="0"/>
          <w:marTop w:val="120"/>
          <w:marBottom w:val="120"/>
          <w:divBdr>
            <w:top w:val="none" w:sz="0" w:space="0" w:color="auto"/>
            <w:left w:val="none" w:sz="0" w:space="0" w:color="auto"/>
            <w:bottom w:val="none" w:sz="0" w:space="0" w:color="auto"/>
            <w:right w:val="none" w:sz="0" w:space="0" w:color="auto"/>
          </w:divBdr>
        </w:div>
        <w:div w:id="1187403697">
          <w:marLeft w:val="547"/>
          <w:marRight w:val="0"/>
          <w:marTop w:val="120"/>
          <w:marBottom w:val="120"/>
          <w:divBdr>
            <w:top w:val="none" w:sz="0" w:space="0" w:color="auto"/>
            <w:left w:val="none" w:sz="0" w:space="0" w:color="auto"/>
            <w:bottom w:val="none" w:sz="0" w:space="0" w:color="auto"/>
            <w:right w:val="none" w:sz="0" w:space="0" w:color="auto"/>
          </w:divBdr>
        </w:div>
      </w:divsChild>
    </w:div>
    <w:div w:id="834884011">
      <w:bodyDiv w:val="1"/>
      <w:marLeft w:val="0"/>
      <w:marRight w:val="0"/>
      <w:marTop w:val="0"/>
      <w:marBottom w:val="0"/>
      <w:divBdr>
        <w:top w:val="none" w:sz="0" w:space="0" w:color="auto"/>
        <w:left w:val="none" w:sz="0" w:space="0" w:color="auto"/>
        <w:bottom w:val="none" w:sz="0" w:space="0" w:color="auto"/>
        <w:right w:val="none" w:sz="0" w:space="0" w:color="auto"/>
      </w:divBdr>
    </w:div>
    <w:div w:id="835388568">
      <w:bodyDiv w:val="1"/>
      <w:marLeft w:val="0"/>
      <w:marRight w:val="0"/>
      <w:marTop w:val="0"/>
      <w:marBottom w:val="0"/>
      <w:divBdr>
        <w:top w:val="none" w:sz="0" w:space="0" w:color="auto"/>
        <w:left w:val="none" w:sz="0" w:space="0" w:color="auto"/>
        <w:bottom w:val="none" w:sz="0" w:space="0" w:color="auto"/>
        <w:right w:val="none" w:sz="0" w:space="0" w:color="auto"/>
      </w:divBdr>
    </w:div>
    <w:div w:id="859008835">
      <w:bodyDiv w:val="1"/>
      <w:marLeft w:val="0"/>
      <w:marRight w:val="0"/>
      <w:marTop w:val="0"/>
      <w:marBottom w:val="0"/>
      <w:divBdr>
        <w:top w:val="none" w:sz="0" w:space="0" w:color="auto"/>
        <w:left w:val="none" w:sz="0" w:space="0" w:color="auto"/>
        <w:bottom w:val="none" w:sz="0" w:space="0" w:color="auto"/>
        <w:right w:val="none" w:sz="0" w:space="0" w:color="auto"/>
      </w:divBdr>
    </w:div>
    <w:div w:id="873614429">
      <w:bodyDiv w:val="1"/>
      <w:marLeft w:val="0"/>
      <w:marRight w:val="0"/>
      <w:marTop w:val="0"/>
      <w:marBottom w:val="0"/>
      <w:divBdr>
        <w:top w:val="none" w:sz="0" w:space="0" w:color="auto"/>
        <w:left w:val="none" w:sz="0" w:space="0" w:color="auto"/>
        <w:bottom w:val="none" w:sz="0" w:space="0" w:color="auto"/>
        <w:right w:val="none" w:sz="0" w:space="0" w:color="auto"/>
      </w:divBdr>
    </w:div>
    <w:div w:id="873926645">
      <w:bodyDiv w:val="1"/>
      <w:marLeft w:val="0"/>
      <w:marRight w:val="0"/>
      <w:marTop w:val="0"/>
      <w:marBottom w:val="0"/>
      <w:divBdr>
        <w:top w:val="none" w:sz="0" w:space="0" w:color="auto"/>
        <w:left w:val="none" w:sz="0" w:space="0" w:color="auto"/>
        <w:bottom w:val="none" w:sz="0" w:space="0" w:color="auto"/>
        <w:right w:val="none" w:sz="0" w:space="0" w:color="auto"/>
      </w:divBdr>
      <w:divsChild>
        <w:div w:id="1368723355">
          <w:marLeft w:val="346"/>
          <w:marRight w:val="0"/>
          <w:marTop w:val="60"/>
          <w:marBottom w:val="60"/>
          <w:divBdr>
            <w:top w:val="none" w:sz="0" w:space="0" w:color="auto"/>
            <w:left w:val="none" w:sz="0" w:space="0" w:color="auto"/>
            <w:bottom w:val="none" w:sz="0" w:space="0" w:color="auto"/>
            <w:right w:val="none" w:sz="0" w:space="0" w:color="auto"/>
          </w:divBdr>
        </w:div>
        <w:div w:id="1856573064">
          <w:marLeft w:val="346"/>
          <w:marRight w:val="0"/>
          <w:marTop w:val="60"/>
          <w:marBottom w:val="60"/>
          <w:divBdr>
            <w:top w:val="none" w:sz="0" w:space="0" w:color="auto"/>
            <w:left w:val="none" w:sz="0" w:space="0" w:color="auto"/>
            <w:bottom w:val="none" w:sz="0" w:space="0" w:color="auto"/>
            <w:right w:val="none" w:sz="0" w:space="0" w:color="auto"/>
          </w:divBdr>
        </w:div>
        <w:div w:id="2135707058">
          <w:marLeft w:val="346"/>
          <w:marRight w:val="0"/>
          <w:marTop w:val="60"/>
          <w:marBottom w:val="60"/>
          <w:divBdr>
            <w:top w:val="none" w:sz="0" w:space="0" w:color="auto"/>
            <w:left w:val="none" w:sz="0" w:space="0" w:color="auto"/>
            <w:bottom w:val="none" w:sz="0" w:space="0" w:color="auto"/>
            <w:right w:val="none" w:sz="0" w:space="0" w:color="auto"/>
          </w:divBdr>
        </w:div>
      </w:divsChild>
    </w:div>
    <w:div w:id="937106455">
      <w:bodyDiv w:val="1"/>
      <w:marLeft w:val="0"/>
      <w:marRight w:val="0"/>
      <w:marTop w:val="0"/>
      <w:marBottom w:val="0"/>
      <w:divBdr>
        <w:top w:val="none" w:sz="0" w:space="0" w:color="auto"/>
        <w:left w:val="none" w:sz="0" w:space="0" w:color="auto"/>
        <w:bottom w:val="none" w:sz="0" w:space="0" w:color="auto"/>
        <w:right w:val="none" w:sz="0" w:space="0" w:color="auto"/>
      </w:divBdr>
    </w:div>
    <w:div w:id="939215286">
      <w:bodyDiv w:val="1"/>
      <w:marLeft w:val="0"/>
      <w:marRight w:val="0"/>
      <w:marTop w:val="0"/>
      <w:marBottom w:val="0"/>
      <w:divBdr>
        <w:top w:val="none" w:sz="0" w:space="0" w:color="auto"/>
        <w:left w:val="none" w:sz="0" w:space="0" w:color="auto"/>
        <w:bottom w:val="none" w:sz="0" w:space="0" w:color="auto"/>
        <w:right w:val="none" w:sz="0" w:space="0" w:color="auto"/>
      </w:divBdr>
    </w:div>
    <w:div w:id="948851742">
      <w:bodyDiv w:val="1"/>
      <w:marLeft w:val="0"/>
      <w:marRight w:val="0"/>
      <w:marTop w:val="0"/>
      <w:marBottom w:val="0"/>
      <w:divBdr>
        <w:top w:val="none" w:sz="0" w:space="0" w:color="auto"/>
        <w:left w:val="none" w:sz="0" w:space="0" w:color="auto"/>
        <w:bottom w:val="none" w:sz="0" w:space="0" w:color="auto"/>
        <w:right w:val="none" w:sz="0" w:space="0" w:color="auto"/>
      </w:divBdr>
    </w:div>
    <w:div w:id="960262926">
      <w:bodyDiv w:val="1"/>
      <w:marLeft w:val="0"/>
      <w:marRight w:val="0"/>
      <w:marTop w:val="0"/>
      <w:marBottom w:val="0"/>
      <w:divBdr>
        <w:top w:val="none" w:sz="0" w:space="0" w:color="auto"/>
        <w:left w:val="none" w:sz="0" w:space="0" w:color="auto"/>
        <w:bottom w:val="none" w:sz="0" w:space="0" w:color="auto"/>
        <w:right w:val="none" w:sz="0" w:space="0" w:color="auto"/>
      </w:divBdr>
    </w:div>
    <w:div w:id="1020013367">
      <w:bodyDiv w:val="1"/>
      <w:marLeft w:val="0"/>
      <w:marRight w:val="0"/>
      <w:marTop w:val="0"/>
      <w:marBottom w:val="0"/>
      <w:divBdr>
        <w:top w:val="none" w:sz="0" w:space="0" w:color="auto"/>
        <w:left w:val="none" w:sz="0" w:space="0" w:color="auto"/>
        <w:bottom w:val="none" w:sz="0" w:space="0" w:color="auto"/>
        <w:right w:val="none" w:sz="0" w:space="0" w:color="auto"/>
      </w:divBdr>
    </w:div>
    <w:div w:id="1020738161">
      <w:bodyDiv w:val="1"/>
      <w:marLeft w:val="0"/>
      <w:marRight w:val="0"/>
      <w:marTop w:val="0"/>
      <w:marBottom w:val="0"/>
      <w:divBdr>
        <w:top w:val="none" w:sz="0" w:space="0" w:color="auto"/>
        <w:left w:val="none" w:sz="0" w:space="0" w:color="auto"/>
        <w:bottom w:val="none" w:sz="0" w:space="0" w:color="auto"/>
        <w:right w:val="none" w:sz="0" w:space="0" w:color="auto"/>
      </w:divBdr>
    </w:div>
    <w:div w:id="1033922817">
      <w:bodyDiv w:val="1"/>
      <w:marLeft w:val="0"/>
      <w:marRight w:val="0"/>
      <w:marTop w:val="0"/>
      <w:marBottom w:val="0"/>
      <w:divBdr>
        <w:top w:val="none" w:sz="0" w:space="0" w:color="auto"/>
        <w:left w:val="none" w:sz="0" w:space="0" w:color="auto"/>
        <w:bottom w:val="none" w:sz="0" w:space="0" w:color="auto"/>
        <w:right w:val="none" w:sz="0" w:space="0" w:color="auto"/>
      </w:divBdr>
    </w:div>
    <w:div w:id="1071348829">
      <w:bodyDiv w:val="1"/>
      <w:marLeft w:val="0"/>
      <w:marRight w:val="0"/>
      <w:marTop w:val="0"/>
      <w:marBottom w:val="0"/>
      <w:divBdr>
        <w:top w:val="none" w:sz="0" w:space="0" w:color="auto"/>
        <w:left w:val="none" w:sz="0" w:space="0" w:color="auto"/>
        <w:bottom w:val="none" w:sz="0" w:space="0" w:color="auto"/>
        <w:right w:val="none" w:sz="0" w:space="0" w:color="auto"/>
      </w:divBdr>
    </w:div>
    <w:div w:id="1072509139">
      <w:bodyDiv w:val="1"/>
      <w:marLeft w:val="0"/>
      <w:marRight w:val="0"/>
      <w:marTop w:val="0"/>
      <w:marBottom w:val="0"/>
      <w:divBdr>
        <w:top w:val="none" w:sz="0" w:space="0" w:color="auto"/>
        <w:left w:val="none" w:sz="0" w:space="0" w:color="auto"/>
        <w:bottom w:val="none" w:sz="0" w:space="0" w:color="auto"/>
        <w:right w:val="none" w:sz="0" w:space="0" w:color="auto"/>
      </w:divBdr>
    </w:div>
    <w:div w:id="1075129477">
      <w:bodyDiv w:val="1"/>
      <w:marLeft w:val="0"/>
      <w:marRight w:val="0"/>
      <w:marTop w:val="0"/>
      <w:marBottom w:val="0"/>
      <w:divBdr>
        <w:top w:val="none" w:sz="0" w:space="0" w:color="auto"/>
        <w:left w:val="none" w:sz="0" w:space="0" w:color="auto"/>
        <w:bottom w:val="none" w:sz="0" w:space="0" w:color="auto"/>
        <w:right w:val="none" w:sz="0" w:space="0" w:color="auto"/>
      </w:divBdr>
    </w:div>
    <w:div w:id="1116752646">
      <w:bodyDiv w:val="1"/>
      <w:marLeft w:val="0"/>
      <w:marRight w:val="0"/>
      <w:marTop w:val="0"/>
      <w:marBottom w:val="0"/>
      <w:divBdr>
        <w:top w:val="none" w:sz="0" w:space="0" w:color="auto"/>
        <w:left w:val="none" w:sz="0" w:space="0" w:color="auto"/>
        <w:bottom w:val="none" w:sz="0" w:space="0" w:color="auto"/>
        <w:right w:val="none" w:sz="0" w:space="0" w:color="auto"/>
      </w:divBdr>
    </w:div>
    <w:div w:id="1145732621">
      <w:bodyDiv w:val="1"/>
      <w:marLeft w:val="0"/>
      <w:marRight w:val="0"/>
      <w:marTop w:val="0"/>
      <w:marBottom w:val="0"/>
      <w:divBdr>
        <w:top w:val="none" w:sz="0" w:space="0" w:color="auto"/>
        <w:left w:val="none" w:sz="0" w:space="0" w:color="auto"/>
        <w:bottom w:val="none" w:sz="0" w:space="0" w:color="auto"/>
        <w:right w:val="none" w:sz="0" w:space="0" w:color="auto"/>
      </w:divBdr>
    </w:div>
    <w:div w:id="1151361836">
      <w:bodyDiv w:val="1"/>
      <w:marLeft w:val="0"/>
      <w:marRight w:val="0"/>
      <w:marTop w:val="0"/>
      <w:marBottom w:val="0"/>
      <w:divBdr>
        <w:top w:val="none" w:sz="0" w:space="0" w:color="auto"/>
        <w:left w:val="none" w:sz="0" w:space="0" w:color="auto"/>
        <w:bottom w:val="none" w:sz="0" w:space="0" w:color="auto"/>
        <w:right w:val="none" w:sz="0" w:space="0" w:color="auto"/>
      </w:divBdr>
    </w:div>
    <w:div w:id="1153526974">
      <w:bodyDiv w:val="1"/>
      <w:marLeft w:val="0"/>
      <w:marRight w:val="0"/>
      <w:marTop w:val="0"/>
      <w:marBottom w:val="0"/>
      <w:divBdr>
        <w:top w:val="none" w:sz="0" w:space="0" w:color="auto"/>
        <w:left w:val="none" w:sz="0" w:space="0" w:color="auto"/>
        <w:bottom w:val="none" w:sz="0" w:space="0" w:color="auto"/>
        <w:right w:val="none" w:sz="0" w:space="0" w:color="auto"/>
      </w:divBdr>
      <w:divsChild>
        <w:div w:id="15235405">
          <w:marLeft w:val="547"/>
          <w:marRight w:val="0"/>
          <w:marTop w:val="0"/>
          <w:marBottom w:val="0"/>
          <w:divBdr>
            <w:top w:val="none" w:sz="0" w:space="0" w:color="auto"/>
            <w:left w:val="none" w:sz="0" w:space="0" w:color="auto"/>
            <w:bottom w:val="none" w:sz="0" w:space="0" w:color="auto"/>
            <w:right w:val="none" w:sz="0" w:space="0" w:color="auto"/>
          </w:divBdr>
        </w:div>
        <w:div w:id="80300113">
          <w:marLeft w:val="547"/>
          <w:marRight w:val="0"/>
          <w:marTop w:val="0"/>
          <w:marBottom w:val="0"/>
          <w:divBdr>
            <w:top w:val="none" w:sz="0" w:space="0" w:color="auto"/>
            <w:left w:val="none" w:sz="0" w:space="0" w:color="auto"/>
            <w:bottom w:val="none" w:sz="0" w:space="0" w:color="auto"/>
            <w:right w:val="none" w:sz="0" w:space="0" w:color="auto"/>
          </w:divBdr>
        </w:div>
        <w:div w:id="210271832">
          <w:marLeft w:val="547"/>
          <w:marRight w:val="0"/>
          <w:marTop w:val="0"/>
          <w:marBottom w:val="0"/>
          <w:divBdr>
            <w:top w:val="none" w:sz="0" w:space="0" w:color="auto"/>
            <w:left w:val="none" w:sz="0" w:space="0" w:color="auto"/>
            <w:bottom w:val="none" w:sz="0" w:space="0" w:color="auto"/>
            <w:right w:val="none" w:sz="0" w:space="0" w:color="auto"/>
          </w:divBdr>
        </w:div>
        <w:div w:id="217860385">
          <w:marLeft w:val="547"/>
          <w:marRight w:val="0"/>
          <w:marTop w:val="0"/>
          <w:marBottom w:val="0"/>
          <w:divBdr>
            <w:top w:val="none" w:sz="0" w:space="0" w:color="auto"/>
            <w:left w:val="none" w:sz="0" w:space="0" w:color="auto"/>
            <w:bottom w:val="none" w:sz="0" w:space="0" w:color="auto"/>
            <w:right w:val="none" w:sz="0" w:space="0" w:color="auto"/>
          </w:divBdr>
        </w:div>
        <w:div w:id="221722209">
          <w:marLeft w:val="547"/>
          <w:marRight w:val="0"/>
          <w:marTop w:val="0"/>
          <w:marBottom w:val="0"/>
          <w:divBdr>
            <w:top w:val="none" w:sz="0" w:space="0" w:color="auto"/>
            <w:left w:val="none" w:sz="0" w:space="0" w:color="auto"/>
            <w:bottom w:val="none" w:sz="0" w:space="0" w:color="auto"/>
            <w:right w:val="none" w:sz="0" w:space="0" w:color="auto"/>
          </w:divBdr>
        </w:div>
        <w:div w:id="327680413">
          <w:marLeft w:val="547"/>
          <w:marRight w:val="0"/>
          <w:marTop w:val="0"/>
          <w:marBottom w:val="0"/>
          <w:divBdr>
            <w:top w:val="none" w:sz="0" w:space="0" w:color="auto"/>
            <w:left w:val="none" w:sz="0" w:space="0" w:color="auto"/>
            <w:bottom w:val="none" w:sz="0" w:space="0" w:color="auto"/>
            <w:right w:val="none" w:sz="0" w:space="0" w:color="auto"/>
          </w:divBdr>
        </w:div>
        <w:div w:id="387657074">
          <w:marLeft w:val="547"/>
          <w:marRight w:val="0"/>
          <w:marTop w:val="0"/>
          <w:marBottom w:val="0"/>
          <w:divBdr>
            <w:top w:val="none" w:sz="0" w:space="0" w:color="auto"/>
            <w:left w:val="none" w:sz="0" w:space="0" w:color="auto"/>
            <w:bottom w:val="none" w:sz="0" w:space="0" w:color="auto"/>
            <w:right w:val="none" w:sz="0" w:space="0" w:color="auto"/>
          </w:divBdr>
        </w:div>
        <w:div w:id="527136201">
          <w:marLeft w:val="547"/>
          <w:marRight w:val="0"/>
          <w:marTop w:val="0"/>
          <w:marBottom w:val="0"/>
          <w:divBdr>
            <w:top w:val="none" w:sz="0" w:space="0" w:color="auto"/>
            <w:left w:val="none" w:sz="0" w:space="0" w:color="auto"/>
            <w:bottom w:val="none" w:sz="0" w:space="0" w:color="auto"/>
            <w:right w:val="none" w:sz="0" w:space="0" w:color="auto"/>
          </w:divBdr>
        </w:div>
        <w:div w:id="563297561">
          <w:marLeft w:val="547"/>
          <w:marRight w:val="0"/>
          <w:marTop w:val="0"/>
          <w:marBottom w:val="0"/>
          <w:divBdr>
            <w:top w:val="none" w:sz="0" w:space="0" w:color="auto"/>
            <w:left w:val="none" w:sz="0" w:space="0" w:color="auto"/>
            <w:bottom w:val="none" w:sz="0" w:space="0" w:color="auto"/>
            <w:right w:val="none" w:sz="0" w:space="0" w:color="auto"/>
          </w:divBdr>
        </w:div>
        <w:div w:id="615412425">
          <w:marLeft w:val="547"/>
          <w:marRight w:val="0"/>
          <w:marTop w:val="0"/>
          <w:marBottom w:val="0"/>
          <w:divBdr>
            <w:top w:val="none" w:sz="0" w:space="0" w:color="auto"/>
            <w:left w:val="none" w:sz="0" w:space="0" w:color="auto"/>
            <w:bottom w:val="none" w:sz="0" w:space="0" w:color="auto"/>
            <w:right w:val="none" w:sz="0" w:space="0" w:color="auto"/>
          </w:divBdr>
        </w:div>
        <w:div w:id="690379709">
          <w:marLeft w:val="547"/>
          <w:marRight w:val="0"/>
          <w:marTop w:val="0"/>
          <w:marBottom w:val="0"/>
          <w:divBdr>
            <w:top w:val="none" w:sz="0" w:space="0" w:color="auto"/>
            <w:left w:val="none" w:sz="0" w:space="0" w:color="auto"/>
            <w:bottom w:val="none" w:sz="0" w:space="0" w:color="auto"/>
            <w:right w:val="none" w:sz="0" w:space="0" w:color="auto"/>
          </w:divBdr>
        </w:div>
        <w:div w:id="954754877">
          <w:marLeft w:val="547"/>
          <w:marRight w:val="0"/>
          <w:marTop w:val="0"/>
          <w:marBottom w:val="0"/>
          <w:divBdr>
            <w:top w:val="none" w:sz="0" w:space="0" w:color="auto"/>
            <w:left w:val="none" w:sz="0" w:space="0" w:color="auto"/>
            <w:bottom w:val="none" w:sz="0" w:space="0" w:color="auto"/>
            <w:right w:val="none" w:sz="0" w:space="0" w:color="auto"/>
          </w:divBdr>
        </w:div>
        <w:div w:id="963998144">
          <w:marLeft w:val="547"/>
          <w:marRight w:val="0"/>
          <w:marTop w:val="0"/>
          <w:marBottom w:val="0"/>
          <w:divBdr>
            <w:top w:val="none" w:sz="0" w:space="0" w:color="auto"/>
            <w:left w:val="none" w:sz="0" w:space="0" w:color="auto"/>
            <w:bottom w:val="none" w:sz="0" w:space="0" w:color="auto"/>
            <w:right w:val="none" w:sz="0" w:space="0" w:color="auto"/>
          </w:divBdr>
        </w:div>
        <w:div w:id="1295522669">
          <w:marLeft w:val="547"/>
          <w:marRight w:val="0"/>
          <w:marTop w:val="0"/>
          <w:marBottom w:val="0"/>
          <w:divBdr>
            <w:top w:val="none" w:sz="0" w:space="0" w:color="auto"/>
            <w:left w:val="none" w:sz="0" w:space="0" w:color="auto"/>
            <w:bottom w:val="none" w:sz="0" w:space="0" w:color="auto"/>
            <w:right w:val="none" w:sz="0" w:space="0" w:color="auto"/>
          </w:divBdr>
        </w:div>
        <w:div w:id="1341472196">
          <w:marLeft w:val="547"/>
          <w:marRight w:val="0"/>
          <w:marTop w:val="0"/>
          <w:marBottom w:val="0"/>
          <w:divBdr>
            <w:top w:val="none" w:sz="0" w:space="0" w:color="auto"/>
            <w:left w:val="none" w:sz="0" w:space="0" w:color="auto"/>
            <w:bottom w:val="none" w:sz="0" w:space="0" w:color="auto"/>
            <w:right w:val="none" w:sz="0" w:space="0" w:color="auto"/>
          </w:divBdr>
        </w:div>
        <w:div w:id="1670868085">
          <w:marLeft w:val="547"/>
          <w:marRight w:val="0"/>
          <w:marTop w:val="0"/>
          <w:marBottom w:val="0"/>
          <w:divBdr>
            <w:top w:val="none" w:sz="0" w:space="0" w:color="auto"/>
            <w:left w:val="none" w:sz="0" w:space="0" w:color="auto"/>
            <w:bottom w:val="none" w:sz="0" w:space="0" w:color="auto"/>
            <w:right w:val="none" w:sz="0" w:space="0" w:color="auto"/>
          </w:divBdr>
        </w:div>
        <w:div w:id="1685546651">
          <w:marLeft w:val="547"/>
          <w:marRight w:val="0"/>
          <w:marTop w:val="0"/>
          <w:marBottom w:val="0"/>
          <w:divBdr>
            <w:top w:val="none" w:sz="0" w:space="0" w:color="auto"/>
            <w:left w:val="none" w:sz="0" w:space="0" w:color="auto"/>
            <w:bottom w:val="none" w:sz="0" w:space="0" w:color="auto"/>
            <w:right w:val="none" w:sz="0" w:space="0" w:color="auto"/>
          </w:divBdr>
        </w:div>
        <w:div w:id="1810244709">
          <w:marLeft w:val="547"/>
          <w:marRight w:val="0"/>
          <w:marTop w:val="0"/>
          <w:marBottom w:val="0"/>
          <w:divBdr>
            <w:top w:val="none" w:sz="0" w:space="0" w:color="auto"/>
            <w:left w:val="none" w:sz="0" w:space="0" w:color="auto"/>
            <w:bottom w:val="none" w:sz="0" w:space="0" w:color="auto"/>
            <w:right w:val="none" w:sz="0" w:space="0" w:color="auto"/>
          </w:divBdr>
        </w:div>
        <w:div w:id="1874075798">
          <w:marLeft w:val="547"/>
          <w:marRight w:val="0"/>
          <w:marTop w:val="0"/>
          <w:marBottom w:val="0"/>
          <w:divBdr>
            <w:top w:val="none" w:sz="0" w:space="0" w:color="auto"/>
            <w:left w:val="none" w:sz="0" w:space="0" w:color="auto"/>
            <w:bottom w:val="none" w:sz="0" w:space="0" w:color="auto"/>
            <w:right w:val="none" w:sz="0" w:space="0" w:color="auto"/>
          </w:divBdr>
        </w:div>
        <w:div w:id="1921207173">
          <w:marLeft w:val="547"/>
          <w:marRight w:val="0"/>
          <w:marTop w:val="0"/>
          <w:marBottom w:val="0"/>
          <w:divBdr>
            <w:top w:val="none" w:sz="0" w:space="0" w:color="auto"/>
            <w:left w:val="none" w:sz="0" w:space="0" w:color="auto"/>
            <w:bottom w:val="none" w:sz="0" w:space="0" w:color="auto"/>
            <w:right w:val="none" w:sz="0" w:space="0" w:color="auto"/>
          </w:divBdr>
        </w:div>
        <w:div w:id="2103142504">
          <w:marLeft w:val="547"/>
          <w:marRight w:val="0"/>
          <w:marTop w:val="0"/>
          <w:marBottom w:val="0"/>
          <w:divBdr>
            <w:top w:val="none" w:sz="0" w:space="0" w:color="auto"/>
            <w:left w:val="none" w:sz="0" w:space="0" w:color="auto"/>
            <w:bottom w:val="none" w:sz="0" w:space="0" w:color="auto"/>
            <w:right w:val="none" w:sz="0" w:space="0" w:color="auto"/>
          </w:divBdr>
        </w:div>
      </w:divsChild>
    </w:div>
    <w:div w:id="1156651914">
      <w:bodyDiv w:val="1"/>
      <w:marLeft w:val="0"/>
      <w:marRight w:val="0"/>
      <w:marTop w:val="0"/>
      <w:marBottom w:val="0"/>
      <w:divBdr>
        <w:top w:val="none" w:sz="0" w:space="0" w:color="auto"/>
        <w:left w:val="none" w:sz="0" w:space="0" w:color="auto"/>
        <w:bottom w:val="none" w:sz="0" w:space="0" w:color="auto"/>
        <w:right w:val="none" w:sz="0" w:space="0" w:color="auto"/>
      </w:divBdr>
    </w:div>
    <w:div w:id="1164661731">
      <w:bodyDiv w:val="1"/>
      <w:marLeft w:val="0"/>
      <w:marRight w:val="0"/>
      <w:marTop w:val="0"/>
      <w:marBottom w:val="0"/>
      <w:divBdr>
        <w:top w:val="none" w:sz="0" w:space="0" w:color="auto"/>
        <w:left w:val="none" w:sz="0" w:space="0" w:color="auto"/>
        <w:bottom w:val="none" w:sz="0" w:space="0" w:color="auto"/>
        <w:right w:val="none" w:sz="0" w:space="0" w:color="auto"/>
      </w:divBdr>
    </w:div>
    <w:div w:id="1182477746">
      <w:bodyDiv w:val="1"/>
      <w:marLeft w:val="0"/>
      <w:marRight w:val="0"/>
      <w:marTop w:val="0"/>
      <w:marBottom w:val="0"/>
      <w:divBdr>
        <w:top w:val="none" w:sz="0" w:space="0" w:color="auto"/>
        <w:left w:val="none" w:sz="0" w:space="0" w:color="auto"/>
        <w:bottom w:val="none" w:sz="0" w:space="0" w:color="auto"/>
        <w:right w:val="none" w:sz="0" w:space="0" w:color="auto"/>
      </w:divBdr>
    </w:div>
    <w:div w:id="1206676707">
      <w:bodyDiv w:val="1"/>
      <w:marLeft w:val="0"/>
      <w:marRight w:val="0"/>
      <w:marTop w:val="0"/>
      <w:marBottom w:val="0"/>
      <w:divBdr>
        <w:top w:val="none" w:sz="0" w:space="0" w:color="auto"/>
        <w:left w:val="none" w:sz="0" w:space="0" w:color="auto"/>
        <w:bottom w:val="none" w:sz="0" w:space="0" w:color="auto"/>
        <w:right w:val="none" w:sz="0" w:space="0" w:color="auto"/>
      </w:divBdr>
    </w:div>
    <w:div w:id="1215308862">
      <w:bodyDiv w:val="1"/>
      <w:marLeft w:val="0"/>
      <w:marRight w:val="0"/>
      <w:marTop w:val="0"/>
      <w:marBottom w:val="0"/>
      <w:divBdr>
        <w:top w:val="none" w:sz="0" w:space="0" w:color="auto"/>
        <w:left w:val="none" w:sz="0" w:space="0" w:color="auto"/>
        <w:bottom w:val="none" w:sz="0" w:space="0" w:color="auto"/>
        <w:right w:val="none" w:sz="0" w:space="0" w:color="auto"/>
      </w:divBdr>
      <w:divsChild>
        <w:div w:id="83652381">
          <w:marLeft w:val="1426"/>
          <w:marRight w:val="0"/>
          <w:marTop w:val="120"/>
          <w:marBottom w:val="200"/>
          <w:divBdr>
            <w:top w:val="none" w:sz="0" w:space="0" w:color="auto"/>
            <w:left w:val="none" w:sz="0" w:space="0" w:color="auto"/>
            <w:bottom w:val="none" w:sz="0" w:space="0" w:color="auto"/>
            <w:right w:val="none" w:sz="0" w:space="0" w:color="auto"/>
          </w:divBdr>
        </w:div>
      </w:divsChild>
    </w:div>
    <w:div w:id="1245988323">
      <w:bodyDiv w:val="1"/>
      <w:marLeft w:val="0"/>
      <w:marRight w:val="0"/>
      <w:marTop w:val="0"/>
      <w:marBottom w:val="0"/>
      <w:divBdr>
        <w:top w:val="none" w:sz="0" w:space="0" w:color="auto"/>
        <w:left w:val="none" w:sz="0" w:space="0" w:color="auto"/>
        <w:bottom w:val="none" w:sz="0" w:space="0" w:color="auto"/>
        <w:right w:val="none" w:sz="0" w:space="0" w:color="auto"/>
      </w:divBdr>
    </w:div>
    <w:div w:id="1248079357">
      <w:bodyDiv w:val="1"/>
      <w:marLeft w:val="0"/>
      <w:marRight w:val="0"/>
      <w:marTop w:val="0"/>
      <w:marBottom w:val="0"/>
      <w:divBdr>
        <w:top w:val="none" w:sz="0" w:space="0" w:color="auto"/>
        <w:left w:val="none" w:sz="0" w:space="0" w:color="auto"/>
        <w:bottom w:val="none" w:sz="0" w:space="0" w:color="auto"/>
        <w:right w:val="none" w:sz="0" w:space="0" w:color="auto"/>
      </w:divBdr>
    </w:div>
    <w:div w:id="1256745887">
      <w:bodyDiv w:val="1"/>
      <w:marLeft w:val="0"/>
      <w:marRight w:val="0"/>
      <w:marTop w:val="0"/>
      <w:marBottom w:val="0"/>
      <w:divBdr>
        <w:top w:val="none" w:sz="0" w:space="0" w:color="auto"/>
        <w:left w:val="none" w:sz="0" w:space="0" w:color="auto"/>
        <w:bottom w:val="none" w:sz="0" w:space="0" w:color="auto"/>
        <w:right w:val="none" w:sz="0" w:space="0" w:color="auto"/>
      </w:divBdr>
    </w:div>
    <w:div w:id="1274285969">
      <w:bodyDiv w:val="1"/>
      <w:marLeft w:val="0"/>
      <w:marRight w:val="0"/>
      <w:marTop w:val="0"/>
      <w:marBottom w:val="0"/>
      <w:divBdr>
        <w:top w:val="none" w:sz="0" w:space="0" w:color="auto"/>
        <w:left w:val="none" w:sz="0" w:space="0" w:color="auto"/>
        <w:bottom w:val="none" w:sz="0" w:space="0" w:color="auto"/>
        <w:right w:val="none" w:sz="0" w:space="0" w:color="auto"/>
      </w:divBdr>
    </w:div>
    <w:div w:id="1292712579">
      <w:bodyDiv w:val="1"/>
      <w:marLeft w:val="0"/>
      <w:marRight w:val="0"/>
      <w:marTop w:val="0"/>
      <w:marBottom w:val="0"/>
      <w:divBdr>
        <w:top w:val="none" w:sz="0" w:space="0" w:color="auto"/>
        <w:left w:val="none" w:sz="0" w:space="0" w:color="auto"/>
        <w:bottom w:val="none" w:sz="0" w:space="0" w:color="auto"/>
        <w:right w:val="none" w:sz="0" w:space="0" w:color="auto"/>
      </w:divBdr>
    </w:div>
    <w:div w:id="1334799742">
      <w:bodyDiv w:val="1"/>
      <w:marLeft w:val="0"/>
      <w:marRight w:val="0"/>
      <w:marTop w:val="0"/>
      <w:marBottom w:val="0"/>
      <w:divBdr>
        <w:top w:val="none" w:sz="0" w:space="0" w:color="auto"/>
        <w:left w:val="none" w:sz="0" w:space="0" w:color="auto"/>
        <w:bottom w:val="none" w:sz="0" w:space="0" w:color="auto"/>
        <w:right w:val="none" w:sz="0" w:space="0" w:color="auto"/>
      </w:divBdr>
    </w:div>
    <w:div w:id="1341196118">
      <w:bodyDiv w:val="1"/>
      <w:marLeft w:val="0"/>
      <w:marRight w:val="0"/>
      <w:marTop w:val="0"/>
      <w:marBottom w:val="0"/>
      <w:divBdr>
        <w:top w:val="none" w:sz="0" w:space="0" w:color="auto"/>
        <w:left w:val="none" w:sz="0" w:space="0" w:color="auto"/>
        <w:bottom w:val="none" w:sz="0" w:space="0" w:color="auto"/>
        <w:right w:val="none" w:sz="0" w:space="0" w:color="auto"/>
      </w:divBdr>
    </w:div>
    <w:div w:id="1354527255">
      <w:bodyDiv w:val="1"/>
      <w:marLeft w:val="0"/>
      <w:marRight w:val="0"/>
      <w:marTop w:val="0"/>
      <w:marBottom w:val="0"/>
      <w:divBdr>
        <w:top w:val="none" w:sz="0" w:space="0" w:color="auto"/>
        <w:left w:val="none" w:sz="0" w:space="0" w:color="auto"/>
        <w:bottom w:val="none" w:sz="0" w:space="0" w:color="auto"/>
        <w:right w:val="none" w:sz="0" w:space="0" w:color="auto"/>
      </w:divBdr>
    </w:div>
    <w:div w:id="1392266379">
      <w:bodyDiv w:val="1"/>
      <w:marLeft w:val="0"/>
      <w:marRight w:val="0"/>
      <w:marTop w:val="0"/>
      <w:marBottom w:val="0"/>
      <w:divBdr>
        <w:top w:val="none" w:sz="0" w:space="0" w:color="auto"/>
        <w:left w:val="none" w:sz="0" w:space="0" w:color="auto"/>
        <w:bottom w:val="none" w:sz="0" w:space="0" w:color="auto"/>
        <w:right w:val="none" w:sz="0" w:space="0" w:color="auto"/>
      </w:divBdr>
    </w:div>
    <w:div w:id="1397171284">
      <w:bodyDiv w:val="1"/>
      <w:marLeft w:val="0"/>
      <w:marRight w:val="0"/>
      <w:marTop w:val="0"/>
      <w:marBottom w:val="0"/>
      <w:divBdr>
        <w:top w:val="none" w:sz="0" w:space="0" w:color="auto"/>
        <w:left w:val="none" w:sz="0" w:space="0" w:color="auto"/>
        <w:bottom w:val="none" w:sz="0" w:space="0" w:color="auto"/>
        <w:right w:val="none" w:sz="0" w:space="0" w:color="auto"/>
      </w:divBdr>
    </w:div>
    <w:div w:id="1445415810">
      <w:bodyDiv w:val="1"/>
      <w:marLeft w:val="0"/>
      <w:marRight w:val="0"/>
      <w:marTop w:val="0"/>
      <w:marBottom w:val="0"/>
      <w:divBdr>
        <w:top w:val="none" w:sz="0" w:space="0" w:color="auto"/>
        <w:left w:val="none" w:sz="0" w:space="0" w:color="auto"/>
        <w:bottom w:val="none" w:sz="0" w:space="0" w:color="auto"/>
        <w:right w:val="none" w:sz="0" w:space="0" w:color="auto"/>
      </w:divBdr>
    </w:div>
    <w:div w:id="1451392212">
      <w:bodyDiv w:val="1"/>
      <w:marLeft w:val="0"/>
      <w:marRight w:val="0"/>
      <w:marTop w:val="0"/>
      <w:marBottom w:val="0"/>
      <w:divBdr>
        <w:top w:val="none" w:sz="0" w:space="0" w:color="auto"/>
        <w:left w:val="none" w:sz="0" w:space="0" w:color="auto"/>
        <w:bottom w:val="none" w:sz="0" w:space="0" w:color="auto"/>
        <w:right w:val="none" w:sz="0" w:space="0" w:color="auto"/>
      </w:divBdr>
    </w:div>
    <w:div w:id="1487359862">
      <w:bodyDiv w:val="1"/>
      <w:marLeft w:val="0"/>
      <w:marRight w:val="0"/>
      <w:marTop w:val="0"/>
      <w:marBottom w:val="0"/>
      <w:divBdr>
        <w:top w:val="none" w:sz="0" w:space="0" w:color="auto"/>
        <w:left w:val="none" w:sz="0" w:space="0" w:color="auto"/>
        <w:bottom w:val="none" w:sz="0" w:space="0" w:color="auto"/>
        <w:right w:val="none" w:sz="0" w:space="0" w:color="auto"/>
      </w:divBdr>
      <w:divsChild>
        <w:div w:id="418720791">
          <w:marLeft w:val="346"/>
          <w:marRight w:val="0"/>
          <w:marTop w:val="60"/>
          <w:marBottom w:val="60"/>
          <w:divBdr>
            <w:top w:val="none" w:sz="0" w:space="0" w:color="auto"/>
            <w:left w:val="none" w:sz="0" w:space="0" w:color="auto"/>
            <w:bottom w:val="none" w:sz="0" w:space="0" w:color="auto"/>
            <w:right w:val="none" w:sz="0" w:space="0" w:color="auto"/>
          </w:divBdr>
        </w:div>
        <w:div w:id="1205362453">
          <w:marLeft w:val="346"/>
          <w:marRight w:val="0"/>
          <w:marTop w:val="60"/>
          <w:marBottom w:val="60"/>
          <w:divBdr>
            <w:top w:val="none" w:sz="0" w:space="0" w:color="auto"/>
            <w:left w:val="none" w:sz="0" w:space="0" w:color="auto"/>
            <w:bottom w:val="none" w:sz="0" w:space="0" w:color="auto"/>
            <w:right w:val="none" w:sz="0" w:space="0" w:color="auto"/>
          </w:divBdr>
        </w:div>
      </w:divsChild>
    </w:div>
    <w:div w:id="1491290863">
      <w:bodyDiv w:val="1"/>
      <w:marLeft w:val="0"/>
      <w:marRight w:val="0"/>
      <w:marTop w:val="0"/>
      <w:marBottom w:val="0"/>
      <w:divBdr>
        <w:top w:val="none" w:sz="0" w:space="0" w:color="auto"/>
        <w:left w:val="none" w:sz="0" w:space="0" w:color="auto"/>
        <w:bottom w:val="none" w:sz="0" w:space="0" w:color="auto"/>
        <w:right w:val="none" w:sz="0" w:space="0" w:color="auto"/>
      </w:divBdr>
    </w:div>
    <w:div w:id="1508250486">
      <w:bodyDiv w:val="1"/>
      <w:marLeft w:val="0"/>
      <w:marRight w:val="0"/>
      <w:marTop w:val="0"/>
      <w:marBottom w:val="0"/>
      <w:divBdr>
        <w:top w:val="none" w:sz="0" w:space="0" w:color="auto"/>
        <w:left w:val="none" w:sz="0" w:space="0" w:color="auto"/>
        <w:bottom w:val="none" w:sz="0" w:space="0" w:color="auto"/>
        <w:right w:val="none" w:sz="0" w:space="0" w:color="auto"/>
      </w:divBdr>
    </w:div>
    <w:div w:id="1547402755">
      <w:bodyDiv w:val="1"/>
      <w:marLeft w:val="0"/>
      <w:marRight w:val="0"/>
      <w:marTop w:val="0"/>
      <w:marBottom w:val="0"/>
      <w:divBdr>
        <w:top w:val="none" w:sz="0" w:space="0" w:color="auto"/>
        <w:left w:val="none" w:sz="0" w:space="0" w:color="auto"/>
        <w:bottom w:val="none" w:sz="0" w:space="0" w:color="auto"/>
        <w:right w:val="none" w:sz="0" w:space="0" w:color="auto"/>
      </w:divBdr>
    </w:div>
    <w:div w:id="1550921418">
      <w:bodyDiv w:val="1"/>
      <w:marLeft w:val="0"/>
      <w:marRight w:val="0"/>
      <w:marTop w:val="0"/>
      <w:marBottom w:val="0"/>
      <w:divBdr>
        <w:top w:val="none" w:sz="0" w:space="0" w:color="auto"/>
        <w:left w:val="none" w:sz="0" w:space="0" w:color="auto"/>
        <w:bottom w:val="none" w:sz="0" w:space="0" w:color="auto"/>
        <w:right w:val="none" w:sz="0" w:space="0" w:color="auto"/>
      </w:divBdr>
    </w:div>
    <w:div w:id="1562666937">
      <w:bodyDiv w:val="1"/>
      <w:marLeft w:val="0"/>
      <w:marRight w:val="0"/>
      <w:marTop w:val="0"/>
      <w:marBottom w:val="0"/>
      <w:divBdr>
        <w:top w:val="none" w:sz="0" w:space="0" w:color="auto"/>
        <w:left w:val="none" w:sz="0" w:space="0" w:color="auto"/>
        <w:bottom w:val="none" w:sz="0" w:space="0" w:color="auto"/>
        <w:right w:val="none" w:sz="0" w:space="0" w:color="auto"/>
      </w:divBdr>
    </w:div>
    <w:div w:id="1603341051">
      <w:bodyDiv w:val="1"/>
      <w:marLeft w:val="0"/>
      <w:marRight w:val="0"/>
      <w:marTop w:val="0"/>
      <w:marBottom w:val="0"/>
      <w:divBdr>
        <w:top w:val="none" w:sz="0" w:space="0" w:color="auto"/>
        <w:left w:val="none" w:sz="0" w:space="0" w:color="auto"/>
        <w:bottom w:val="none" w:sz="0" w:space="0" w:color="auto"/>
        <w:right w:val="none" w:sz="0" w:space="0" w:color="auto"/>
      </w:divBdr>
    </w:div>
    <w:div w:id="1624771952">
      <w:bodyDiv w:val="1"/>
      <w:marLeft w:val="0"/>
      <w:marRight w:val="0"/>
      <w:marTop w:val="0"/>
      <w:marBottom w:val="0"/>
      <w:divBdr>
        <w:top w:val="none" w:sz="0" w:space="0" w:color="auto"/>
        <w:left w:val="none" w:sz="0" w:space="0" w:color="auto"/>
        <w:bottom w:val="none" w:sz="0" w:space="0" w:color="auto"/>
        <w:right w:val="none" w:sz="0" w:space="0" w:color="auto"/>
      </w:divBdr>
    </w:div>
    <w:div w:id="1652831878">
      <w:bodyDiv w:val="1"/>
      <w:marLeft w:val="0"/>
      <w:marRight w:val="0"/>
      <w:marTop w:val="0"/>
      <w:marBottom w:val="0"/>
      <w:divBdr>
        <w:top w:val="none" w:sz="0" w:space="0" w:color="auto"/>
        <w:left w:val="none" w:sz="0" w:space="0" w:color="auto"/>
        <w:bottom w:val="none" w:sz="0" w:space="0" w:color="auto"/>
        <w:right w:val="none" w:sz="0" w:space="0" w:color="auto"/>
      </w:divBdr>
      <w:divsChild>
        <w:div w:id="281496000">
          <w:marLeft w:val="1426"/>
          <w:marRight w:val="0"/>
          <w:marTop w:val="120"/>
          <w:marBottom w:val="200"/>
          <w:divBdr>
            <w:top w:val="none" w:sz="0" w:space="0" w:color="auto"/>
            <w:left w:val="none" w:sz="0" w:space="0" w:color="auto"/>
            <w:bottom w:val="none" w:sz="0" w:space="0" w:color="auto"/>
            <w:right w:val="none" w:sz="0" w:space="0" w:color="auto"/>
          </w:divBdr>
        </w:div>
      </w:divsChild>
    </w:div>
    <w:div w:id="1656836923">
      <w:bodyDiv w:val="1"/>
      <w:marLeft w:val="0"/>
      <w:marRight w:val="0"/>
      <w:marTop w:val="0"/>
      <w:marBottom w:val="0"/>
      <w:divBdr>
        <w:top w:val="none" w:sz="0" w:space="0" w:color="auto"/>
        <w:left w:val="none" w:sz="0" w:space="0" w:color="auto"/>
        <w:bottom w:val="none" w:sz="0" w:space="0" w:color="auto"/>
        <w:right w:val="none" w:sz="0" w:space="0" w:color="auto"/>
      </w:divBdr>
    </w:div>
    <w:div w:id="1683897478">
      <w:bodyDiv w:val="1"/>
      <w:marLeft w:val="0"/>
      <w:marRight w:val="0"/>
      <w:marTop w:val="0"/>
      <w:marBottom w:val="0"/>
      <w:divBdr>
        <w:top w:val="none" w:sz="0" w:space="0" w:color="auto"/>
        <w:left w:val="none" w:sz="0" w:space="0" w:color="auto"/>
        <w:bottom w:val="none" w:sz="0" w:space="0" w:color="auto"/>
        <w:right w:val="none" w:sz="0" w:space="0" w:color="auto"/>
      </w:divBdr>
      <w:divsChild>
        <w:div w:id="836461624">
          <w:marLeft w:val="533"/>
          <w:marRight w:val="0"/>
          <w:marTop w:val="0"/>
          <w:marBottom w:val="0"/>
          <w:divBdr>
            <w:top w:val="none" w:sz="0" w:space="0" w:color="auto"/>
            <w:left w:val="none" w:sz="0" w:space="0" w:color="auto"/>
            <w:bottom w:val="none" w:sz="0" w:space="0" w:color="auto"/>
            <w:right w:val="none" w:sz="0" w:space="0" w:color="auto"/>
          </w:divBdr>
        </w:div>
      </w:divsChild>
    </w:div>
    <w:div w:id="1697854748">
      <w:bodyDiv w:val="1"/>
      <w:marLeft w:val="0"/>
      <w:marRight w:val="0"/>
      <w:marTop w:val="0"/>
      <w:marBottom w:val="0"/>
      <w:divBdr>
        <w:top w:val="none" w:sz="0" w:space="0" w:color="auto"/>
        <w:left w:val="none" w:sz="0" w:space="0" w:color="auto"/>
        <w:bottom w:val="none" w:sz="0" w:space="0" w:color="auto"/>
        <w:right w:val="none" w:sz="0" w:space="0" w:color="auto"/>
      </w:divBdr>
      <w:divsChild>
        <w:div w:id="361126194">
          <w:marLeft w:val="547"/>
          <w:marRight w:val="0"/>
          <w:marTop w:val="200"/>
          <w:marBottom w:val="0"/>
          <w:divBdr>
            <w:top w:val="none" w:sz="0" w:space="0" w:color="auto"/>
            <w:left w:val="none" w:sz="0" w:space="0" w:color="auto"/>
            <w:bottom w:val="none" w:sz="0" w:space="0" w:color="auto"/>
            <w:right w:val="none" w:sz="0" w:space="0" w:color="auto"/>
          </w:divBdr>
        </w:div>
        <w:div w:id="1392539933">
          <w:marLeft w:val="1627"/>
          <w:marRight w:val="0"/>
          <w:marTop w:val="100"/>
          <w:marBottom w:val="0"/>
          <w:divBdr>
            <w:top w:val="none" w:sz="0" w:space="0" w:color="auto"/>
            <w:left w:val="none" w:sz="0" w:space="0" w:color="auto"/>
            <w:bottom w:val="none" w:sz="0" w:space="0" w:color="auto"/>
            <w:right w:val="none" w:sz="0" w:space="0" w:color="auto"/>
          </w:divBdr>
        </w:div>
        <w:div w:id="1505169491">
          <w:marLeft w:val="1627"/>
          <w:marRight w:val="0"/>
          <w:marTop w:val="100"/>
          <w:marBottom w:val="0"/>
          <w:divBdr>
            <w:top w:val="none" w:sz="0" w:space="0" w:color="auto"/>
            <w:left w:val="none" w:sz="0" w:space="0" w:color="auto"/>
            <w:bottom w:val="none" w:sz="0" w:space="0" w:color="auto"/>
            <w:right w:val="none" w:sz="0" w:space="0" w:color="auto"/>
          </w:divBdr>
        </w:div>
        <w:div w:id="1579091402">
          <w:marLeft w:val="547"/>
          <w:marRight w:val="0"/>
          <w:marTop w:val="200"/>
          <w:marBottom w:val="0"/>
          <w:divBdr>
            <w:top w:val="none" w:sz="0" w:space="0" w:color="auto"/>
            <w:left w:val="none" w:sz="0" w:space="0" w:color="auto"/>
            <w:bottom w:val="none" w:sz="0" w:space="0" w:color="auto"/>
            <w:right w:val="none" w:sz="0" w:space="0" w:color="auto"/>
          </w:divBdr>
        </w:div>
        <w:div w:id="1800493720">
          <w:marLeft w:val="1627"/>
          <w:marRight w:val="0"/>
          <w:marTop w:val="100"/>
          <w:marBottom w:val="0"/>
          <w:divBdr>
            <w:top w:val="none" w:sz="0" w:space="0" w:color="auto"/>
            <w:left w:val="none" w:sz="0" w:space="0" w:color="auto"/>
            <w:bottom w:val="none" w:sz="0" w:space="0" w:color="auto"/>
            <w:right w:val="none" w:sz="0" w:space="0" w:color="auto"/>
          </w:divBdr>
        </w:div>
      </w:divsChild>
    </w:div>
    <w:div w:id="1720931631">
      <w:bodyDiv w:val="1"/>
      <w:marLeft w:val="0"/>
      <w:marRight w:val="0"/>
      <w:marTop w:val="0"/>
      <w:marBottom w:val="0"/>
      <w:divBdr>
        <w:top w:val="none" w:sz="0" w:space="0" w:color="auto"/>
        <w:left w:val="none" w:sz="0" w:space="0" w:color="auto"/>
        <w:bottom w:val="none" w:sz="0" w:space="0" w:color="auto"/>
        <w:right w:val="none" w:sz="0" w:space="0" w:color="auto"/>
      </w:divBdr>
    </w:div>
    <w:div w:id="1750955586">
      <w:bodyDiv w:val="1"/>
      <w:marLeft w:val="0"/>
      <w:marRight w:val="0"/>
      <w:marTop w:val="0"/>
      <w:marBottom w:val="0"/>
      <w:divBdr>
        <w:top w:val="none" w:sz="0" w:space="0" w:color="auto"/>
        <w:left w:val="none" w:sz="0" w:space="0" w:color="auto"/>
        <w:bottom w:val="none" w:sz="0" w:space="0" w:color="auto"/>
        <w:right w:val="none" w:sz="0" w:space="0" w:color="auto"/>
      </w:divBdr>
      <w:divsChild>
        <w:div w:id="393043896">
          <w:marLeft w:val="446"/>
          <w:marRight w:val="0"/>
          <w:marTop w:val="0"/>
          <w:marBottom w:val="0"/>
          <w:divBdr>
            <w:top w:val="none" w:sz="0" w:space="0" w:color="auto"/>
            <w:left w:val="none" w:sz="0" w:space="0" w:color="auto"/>
            <w:bottom w:val="none" w:sz="0" w:space="0" w:color="auto"/>
            <w:right w:val="none" w:sz="0" w:space="0" w:color="auto"/>
          </w:divBdr>
        </w:div>
        <w:div w:id="681668966">
          <w:marLeft w:val="446"/>
          <w:marRight w:val="0"/>
          <w:marTop w:val="0"/>
          <w:marBottom w:val="0"/>
          <w:divBdr>
            <w:top w:val="none" w:sz="0" w:space="0" w:color="auto"/>
            <w:left w:val="none" w:sz="0" w:space="0" w:color="auto"/>
            <w:bottom w:val="none" w:sz="0" w:space="0" w:color="auto"/>
            <w:right w:val="none" w:sz="0" w:space="0" w:color="auto"/>
          </w:divBdr>
        </w:div>
        <w:div w:id="752550346">
          <w:marLeft w:val="446"/>
          <w:marRight w:val="0"/>
          <w:marTop w:val="0"/>
          <w:marBottom w:val="0"/>
          <w:divBdr>
            <w:top w:val="none" w:sz="0" w:space="0" w:color="auto"/>
            <w:left w:val="none" w:sz="0" w:space="0" w:color="auto"/>
            <w:bottom w:val="none" w:sz="0" w:space="0" w:color="auto"/>
            <w:right w:val="none" w:sz="0" w:space="0" w:color="auto"/>
          </w:divBdr>
        </w:div>
        <w:div w:id="758479353">
          <w:marLeft w:val="446"/>
          <w:marRight w:val="0"/>
          <w:marTop w:val="0"/>
          <w:marBottom w:val="0"/>
          <w:divBdr>
            <w:top w:val="none" w:sz="0" w:space="0" w:color="auto"/>
            <w:left w:val="none" w:sz="0" w:space="0" w:color="auto"/>
            <w:bottom w:val="none" w:sz="0" w:space="0" w:color="auto"/>
            <w:right w:val="none" w:sz="0" w:space="0" w:color="auto"/>
          </w:divBdr>
        </w:div>
        <w:div w:id="1479303136">
          <w:marLeft w:val="446"/>
          <w:marRight w:val="0"/>
          <w:marTop w:val="0"/>
          <w:marBottom w:val="0"/>
          <w:divBdr>
            <w:top w:val="none" w:sz="0" w:space="0" w:color="auto"/>
            <w:left w:val="none" w:sz="0" w:space="0" w:color="auto"/>
            <w:bottom w:val="none" w:sz="0" w:space="0" w:color="auto"/>
            <w:right w:val="none" w:sz="0" w:space="0" w:color="auto"/>
          </w:divBdr>
        </w:div>
        <w:div w:id="1712340112">
          <w:marLeft w:val="446"/>
          <w:marRight w:val="0"/>
          <w:marTop w:val="0"/>
          <w:marBottom w:val="0"/>
          <w:divBdr>
            <w:top w:val="none" w:sz="0" w:space="0" w:color="auto"/>
            <w:left w:val="none" w:sz="0" w:space="0" w:color="auto"/>
            <w:bottom w:val="none" w:sz="0" w:space="0" w:color="auto"/>
            <w:right w:val="none" w:sz="0" w:space="0" w:color="auto"/>
          </w:divBdr>
        </w:div>
        <w:div w:id="1889150357">
          <w:marLeft w:val="446"/>
          <w:marRight w:val="0"/>
          <w:marTop w:val="0"/>
          <w:marBottom w:val="0"/>
          <w:divBdr>
            <w:top w:val="none" w:sz="0" w:space="0" w:color="auto"/>
            <w:left w:val="none" w:sz="0" w:space="0" w:color="auto"/>
            <w:bottom w:val="none" w:sz="0" w:space="0" w:color="auto"/>
            <w:right w:val="none" w:sz="0" w:space="0" w:color="auto"/>
          </w:divBdr>
        </w:div>
      </w:divsChild>
    </w:div>
    <w:div w:id="1775972773">
      <w:bodyDiv w:val="1"/>
      <w:marLeft w:val="0"/>
      <w:marRight w:val="0"/>
      <w:marTop w:val="0"/>
      <w:marBottom w:val="0"/>
      <w:divBdr>
        <w:top w:val="none" w:sz="0" w:space="0" w:color="auto"/>
        <w:left w:val="none" w:sz="0" w:space="0" w:color="auto"/>
        <w:bottom w:val="none" w:sz="0" w:space="0" w:color="auto"/>
        <w:right w:val="none" w:sz="0" w:space="0" w:color="auto"/>
      </w:divBdr>
    </w:div>
    <w:div w:id="1808740162">
      <w:bodyDiv w:val="1"/>
      <w:marLeft w:val="0"/>
      <w:marRight w:val="0"/>
      <w:marTop w:val="0"/>
      <w:marBottom w:val="0"/>
      <w:divBdr>
        <w:top w:val="none" w:sz="0" w:space="0" w:color="auto"/>
        <w:left w:val="none" w:sz="0" w:space="0" w:color="auto"/>
        <w:bottom w:val="none" w:sz="0" w:space="0" w:color="auto"/>
        <w:right w:val="none" w:sz="0" w:space="0" w:color="auto"/>
      </w:divBdr>
      <w:divsChild>
        <w:div w:id="211843470">
          <w:marLeft w:val="720"/>
          <w:marRight w:val="0"/>
          <w:marTop w:val="0"/>
          <w:marBottom w:val="0"/>
          <w:divBdr>
            <w:top w:val="none" w:sz="0" w:space="0" w:color="auto"/>
            <w:left w:val="none" w:sz="0" w:space="0" w:color="auto"/>
            <w:bottom w:val="none" w:sz="0" w:space="0" w:color="auto"/>
            <w:right w:val="none" w:sz="0" w:space="0" w:color="auto"/>
          </w:divBdr>
        </w:div>
        <w:div w:id="1405225737">
          <w:marLeft w:val="720"/>
          <w:marRight w:val="0"/>
          <w:marTop w:val="0"/>
          <w:marBottom w:val="0"/>
          <w:divBdr>
            <w:top w:val="none" w:sz="0" w:space="0" w:color="auto"/>
            <w:left w:val="none" w:sz="0" w:space="0" w:color="auto"/>
            <w:bottom w:val="none" w:sz="0" w:space="0" w:color="auto"/>
            <w:right w:val="none" w:sz="0" w:space="0" w:color="auto"/>
          </w:divBdr>
        </w:div>
        <w:div w:id="1761218480">
          <w:marLeft w:val="720"/>
          <w:marRight w:val="0"/>
          <w:marTop w:val="0"/>
          <w:marBottom w:val="0"/>
          <w:divBdr>
            <w:top w:val="none" w:sz="0" w:space="0" w:color="auto"/>
            <w:left w:val="none" w:sz="0" w:space="0" w:color="auto"/>
            <w:bottom w:val="none" w:sz="0" w:space="0" w:color="auto"/>
            <w:right w:val="none" w:sz="0" w:space="0" w:color="auto"/>
          </w:divBdr>
        </w:div>
      </w:divsChild>
    </w:div>
    <w:div w:id="1831019773">
      <w:bodyDiv w:val="1"/>
      <w:marLeft w:val="0"/>
      <w:marRight w:val="0"/>
      <w:marTop w:val="0"/>
      <w:marBottom w:val="0"/>
      <w:divBdr>
        <w:top w:val="none" w:sz="0" w:space="0" w:color="auto"/>
        <w:left w:val="none" w:sz="0" w:space="0" w:color="auto"/>
        <w:bottom w:val="none" w:sz="0" w:space="0" w:color="auto"/>
        <w:right w:val="none" w:sz="0" w:space="0" w:color="auto"/>
      </w:divBdr>
    </w:div>
    <w:div w:id="1865363522">
      <w:bodyDiv w:val="1"/>
      <w:marLeft w:val="0"/>
      <w:marRight w:val="0"/>
      <w:marTop w:val="0"/>
      <w:marBottom w:val="0"/>
      <w:divBdr>
        <w:top w:val="none" w:sz="0" w:space="0" w:color="auto"/>
        <w:left w:val="none" w:sz="0" w:space="0" w:color="auto"/>
        <w:bottom w:val="none" w:sz="0" w:space="0" w:color="auto"/>
        <w:right w:val="none" w:sz="0" w:space="0" w:color="auto"/>
      </w:divBdr>
    </w:div>
    <w:div w:id="1871139447">
      <w:bodyDiv w:val="1"/>
      <w:marLeft w:val="0"/>
      <w:marRight w:val="0"/>
      <w:marTop w:val="0"/>
      <w:marBottom w:val="0"/>
      <w:divBdr>
        <w:top w:val="none" w:sz="0" w:space="0" w:color="auto"/>
        <w:left w:val="none" w:sz="0" w:space="0" w:color="auto"/>
        <w:bottom w:val="none" w:sz="0" w:space="0" w:color="auto"/>
        <w:right w:val="none" w:sz="0" w:space="0" w:color="auto"/>
      </w:divBdr>
      <w:divsChild>
        <w:div w:id="211381232">
          <w:marLeft w:val="533"/>
          <w:marRight w:val="0"/>
          <w:marTop w:val="0"/>
          <w:marBottom w:val="0"/>
          <w:divBdr>
            <w:top w:val="none" w:sz="0" w:space="0" w:color="auto"/>
            <w:left w:val="none" w:sz="0" w:space="0" w:color="auto"/>
            <w:bottom w:val="none" w:sz="0" w:space="0" w:color="auto"/>
            <w:right w:val="none" w:sz="0" w:space="0" w:color="auto"/>
          </w:divBdr>
        </w:div>
      </w:divsChild>
    </w:div>
    <w:div w:id="1871643338">
      <w:bodyDiv w:val="1"/>
      <w:marLeft w:val="0"/>
      <w:marRight w:val="0"/>
      <w:marTop w:val="0"/>
      <w:marBottom w:val="0"/>
      <w:divBdr>
        <w:top w:val="none" w:sz="0" w:space="0" w:color="auto"/>
        <w:left w:val="none" w:sz="0" w:space="0" w:color="auto"/>
        <w:bottom w:val="none" w:sz="0" w:space="0" w:color="auto"/>
        <w:right w:val="none" w:sz="0" w:space="0" w:color="auto"/>
      </w:divBdr>
    </w:div>
    <w:div w:id="1878660451">
      <w:bodyDiv w:val="1"/>
      <w:marLeft w:val="0"/>
      <w:marRight w:val="0"/>
      <w:marTop w:val="0"/>
      <w:marBottom w:val="0"/>
      <w:divBdr>
        <w:top w:val="none" w:sz="0" w:space="0" w:color="auto"/>
        <w:left w:val="none" w:sz="0" w:space="0" w:color="auto"/>
        <w:bottom w:val="none" w:sz="0" w:space="0" w:color="auto"/>
        <w:right w:val="none" w:sz="0" w:space="0" w:color="auto"/>
      </w:divBdr>
      <w:divsChild>
        <w:div w:id="434600938">
          <w:marLeft w:val="446"/>
          <w:marRight w:val="0"/>
          <w:marTop w:val="0"/>
          <w:marBottom w:val="0"/>
          <w:divBdr>
            <w:top w:val="none" w:sz="0" w:space="0" w:color="auto"/>
            <w:left w:val="none" w:sz="0" w:space="0" w:color="auto"/>
            <w:bottom w:val="none" w:sz="0" w:space="0" w:color="auto"/>
            <w:right w:val="none" w:sz="0" w:space="0" w:color="auto"/>
          </w:divBdr>
        </w:div>
        <w:div w:id="1396125169">
          <w:marLeft w:val="446"/>
          <w:marRight w:val="0"/>
          <w:marTop w:val="0"/>
          <w:marBottom w:val="0"/>
          <w:divBdr>
            <w:top w:val="none" w:sz="0" w:space="0" w:color="auto"/>
            <w:left w:val="none" w:sz="0" w:space="0" w:color="auto"/>
            <w:bottom w:val="none" w:sz="0" w:space="0" w:color="auto"/>
            <w:right w:val="none" w:sz="0" w:space="0" w:color="auto"/>
          </w:divBdr>
        </w:div>
        <w:div w:id="1660691975">
          <w:marLeft w:val="446"/>
          <w:marRight w:val="0"/>
          <w:marTop w:val="0"/>
          <w:marBottom w:val="0"/>
          <w:divBdr>
            <w:top w:val="none" w:sz="0" w:space="0" w:color="auto"/>
            <w:left w:val="none" w:sz="0" w:space="0" w:color="auto"/>
            <w:bottom w:val="none" w:sz="0" w:space="0" w:color="auto"/>
            <w:right w:val="none" w:sz="0" w:space="0" w:color="auto"/>
          </w:divBdr>
        </w:div>
        <w:div w:id="1737364091">
          <w:marLeft w:val="446"/>
          <w:marRight w:val="0"/>
          <w:marTop w:val="0"/>
          <w:marBottom w:val="0"/>
          <w:divBdr>
            <w:top w:val="none" w:sz="0" w:space="0" w:color="auto"/>
            <w:left w:val="none" w:sz="0" w:space="0" w:color="auto"/>
            <w:bottom w:val="none" w:sz="0" w:space="0" w:color="auto"/>
            <w:right w:val="none" w:sz="0" w:space="0" w:color="auto"/>
          </w:divBdr>
        </w:div>
      </w:divsChild>
    </w:div>
    <w:div w:id="1885630373">
      <w:bodyDiv w:val="1"/>
      <w:marLeft w:val="0"/>
      <w:marRight w:val="0"/>
      <w:marTop w:val="0"/>
      <w:marBottom w:val="0"/>
      <w:divBdr>
        <w:top w:val="none" w:sz="0" w:space="0" w:color="auto"/>
        <w:left w:val="none" w:sz="0" w:space="0" w:color="auto"/>
        <w:bottom w:val="none" w:sz="0" w:space="0" w:color="auto"/>
        <w:right w:val="none" w:sz="0" w:space="0" w:color="auto"/>
      </w:divBdr>
    </w:div>
    <w:div w:id="1914581694">
      <w:bodyDiv w:val="1"/>
      <w:marLeft w:val="0"/>
      <w:marRight w:val="0"/>
      <w:marTop w:val="0"/>
      <w:marBottom w:val="0"/>
      <w:divBdr>
        <w:top w:val="none" w:sz="0" w:space="0" w:color="auto"/>
        <w:left w:val="none" w:sz="0" w:space="0" w:color="auto"/>
        <w:bottom w:val="none" w:sz="0" w:space="0" w:color="auto"/>
        <w:right w:val="none" w:sz="0" w:space="0" w:color="auto"/>
      </w:divBdr>
    </w:div>
    <w:div w:id="1918049766">
      <w:bodyDiv w:val="1"/>
      <w:marLeft w:val="0"/>
      <w:marRight w:val="0"/>
      <w:marTop w:val="0"/>
      <w:marBottom w:val="0"/>
      <w:divBdr>
        <w:top w:val="none" w:sz="0" w:space="0" w:color="auto"/>
        <w:left w:val="none" w:sz="0" w:space="0" w:color="auto"/>
        <w:bottom w:val="none" w:sz="0" w:space="0" w:color="auto"/>
        <w:right w:val="none" w:sz="0" w:space="0" w:color="auto"/>
      </w:divBdr>
      <w:divsChild>
        <w:div w:id="164252361">
          <w:marLeft w:val="0"/>
          <w:marRight w:val="0"/>
          <w:marTop w:val="0"/>
          <w:marBottom w:val="0"/>
          <w:divBdr>
            <w:top w:val="none" w:sz="0" w:space="0" w:color="auto"/>
            <w:left w:val="none" w:sz="0" w:space="0" w:color="auto"/>
            <w:bottom w:val="single" w:sz="24" w:space="0" w:color="1A1A1A"/>
            <w:right w:val="none" w:sz="0" w:space="0" w:color="auto"/>
          </w:divBdr>
          <w:divsChild>
            <w:div w:id="308746762">
              <w:marLeft w:val="0"/>
              <w:marRight w:val="0"/>
              <w:marTop w:val="0"/>
              <w:marBottom w:val="0"/>
              <w:divBdr>
                <w:top w:val="none" w:sz="0" w:space="0" w:color="auto"/>
                <w:left w:val="none" w:sz="0" w:space="0" w:color="auto"/>
                <w:bottom w:val="none" w:sz="0" w:space="0" w:color="auto"/>
                <w:right w:val="none" w:sz="0" w:space="0" w:color="auto"/>
              </w:divBdr>
              <w:divsChild>
                <w:div w:id="688065444">
                  <w:marLeft w:val="0"/>
                  <w:marRight w:val="0"/>
                  <w:marTop w:val="0"/>
                  <w:marBottom w:val="0"/>
                  <w:divBdr>
                    <w:top w:val="none" w:sz="0" w:space="0" w:color="auto"/>
                    <w:left w:val="none" w:sz="0" w:space="0" w:color="auto"/>
                    <w:bottom w:val="none" w:sz="0" w:space="0" w:color="auto"/>
                    <w:right w:val="none" w:sz="0" w:space="0" w:color="auto"/>
                  </w:divBdr>
                  <w:divsChild>
                    <w:div w:id="587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29992">
      <w:bodyDiv w:val="1"/>
      <w:marLeft w:val="0"/>
      <w:marRight w:val="0"/>
      <w:marTop w:val="0"/>
      <w:marBottom w:val="0"/>
      <w:divBdr>
        <w:top w:val="none" w:sz="0" w:space="0" w:color="auto"/>
        <w:left w:val="none" w:sz="0" w:space="0" w:color="auto"/>
        <w:bottom w:val="none" w:sz="0" w:space="0" w:color="auto"/>
        <w:right w:val="none" w:sz="0" w:space="0" w:color="auto"/>
      </w:divBdr>
    </w:div>
    <w:div w:id="1976596288">
      <w:bodyDiv w:val="1"/>
      <w:marLeft w:val="0"/>
      <w:marRight w:val="0"/>
      <w:marTop w:val="0"/>
      <w:marBottom w:val="0"/>
      <w:divBdr>
        <w:top w:val="none" w:sz="0" w:space="0" w:color="auto"/>
        <w:left w:val="none" w:sz="0" w:space="0" w:color="auto"/>
        <w:bottom w:val="none" w:sz="0" w:space="0" w:color="auto"/>
        <w:right w:val="none" w:sz="0" w:space="0" w:color="auto"/>
      </w:divBdr>
    </w:div>
    <w:div w:id="1982953645">
      <w:bodyDiv w:val="1"/>
      <w:marLeft w:val="0"/>
      <w:marRight w:val="0"/>
      <w:marTop w:val="0"/>
      <w:marBottom w:val="0"/>
      <w:divBdr>
        <w:top w:val="none" w:sz="0" w:space="0" w:color="auto"/>
        <w:left w:val="none" w:sz="0" w:space="0" w:color="auto"/>
        <w:bottom w:val="none" w:sz="0" w:space="0" w:color="auto"/>
        <w:right w:val="none" w:sz="0" w:space="0" w:color="auto"/>
      </w:divBdr>
    </w:div>
    <w:div w:id="2006860164">
      <w:bodyDiv w:val="1"/>
      <w:marLeft w:val="0"/>
      <w:marRight w:val="0"/>
      <w:marTop w:val="0"/>
      <w:marBottom w:val="0"/>
      <w:divBdr>
        <w:top w:val="none" w:sz="0" w:space="0" w:color="auto"/>
        <w:left w:val="none" w:sz="0" w:space="0" w:color="auto"/>
        <w:bottom w:val="none" w:sz="0" w:space="0" w:color="auto"/>
        <w:right w:val="none" w:sz="0" w:space="0" w:color="auto"/>
      </w:divBdr>
      <w:divsChild>
        <w:div w:id="829178154">
          <w:marLeft w:val="547"/>
          <w:marRight w:val="0"/>
          <w:marTop w:val="120"/>
          <w:marBottom w:val="120"/>
          <w:divBdr>
            <w:top w:val="none" w:sz="0" w:space="0" w:color="auto"/>
            <w:left w:val="none" w:sz="0" w:space="0" w:color="auto"/>
            <w:bottom w:val="none" w:sz="0" w:space="0" w:color="auto"/>
            <w:right w:val="none" w:sz="0" w:space="0" w:color="auto"/>
          </w:divBdr>
        </w:div>
      </w:divsChild>
    </w:div>
    <w:div w:id="2031641435">
      <w:bodyDiv w:val="1"/>
      <w:marLeft w:val="0"/>
      <w:marRight w:val="0"/>
      <w:marTop w:val="0"/>
      <w:marBottom w:val="0"/>
      <w:divBdr>
        <w:top w:val="none" w:sz="0" w:space="0" w:color="auto"/>
        <w:left w:val="none" w:sz="0" w:space="0" w:color="auto"/>
        <w:bottom w:val="none" w:sz="0" w:space="0" w:color="auto"/>
        <w:right w:val="none" w:sz="0" w:space="0" w:color="auto"/>
      </w:divBdr>
    </w:div>
    <w:div w:id="2058048836">
      <w:bodyDiv w:val="1"/>
      <w:marLeft w:val="0"/>
      <w:marRight w:val="0"/>
      <w:marTop w:val="0"/>
      <w:marBottom w:val="0"/>
      <w:divBdr>
        <w:top w:val="none" w:sz="0" w:space="0" w:color="auto"/>
        <w:left w:val="none" w:sz="0" w:space="0" w:color="auto"/>
        <w:bottom w:val="none" w:sz="0" w:space="0" w:color="auto"/>
        <w:right w:val="none" w:sz="0" w:space="0" w:color="auto"/>
      </w:divBdr>
    </w:div>
    <w:div w:id="2116561176">
      <w:bodyDiv w:val="1"/>
      <w:marLeft w:val="0"/>
      <w:marRight w:val="0"/>
      <w:marTop w:val="0"/>
      <w:marBottom w:val="0"/>
      <w:divBdr>
        <w:top w:val="none" w:sz="0" w:space="0" w:color="auto"/>
        <w:left w:val="none" w:sz="0" w:space="0" w:color="auto"/>
        <w:bottom w:val="none" w:sz="0" w:space="0" w:color="auto"/>
        <w:right w:val="none" w:sz="0" w:space="0" w:color="auto"/>
      </w:divBdr>
      <w:divsChild>
        <w:div w:id="1323460862">
          <w:marLeft w:val="0"/>
          <w:marRight w:val="0"/>
          <w:marTop w:val="0"/>
          <w:marBottom w:val="0"/>
          <w:divBdr>
            <w:top w:val="none" w:sz="0" w:space="0" w:color="auto"/>
            <w:left w:val="none" w:sz="0" w:space="0" w:color="auto"/>
            <w:bottom w:val="none" w:sz="0" w:space="0" w:color="auto"/>
            <w:right w:val="none" w:sz="0" w:space="0" w:color="auto"/>
          </w:divBdr>
          <w:divsChild>
            <w:div w:id="1319765041">
              <w:marLeft w:val="0"/>
              <w:marRight w:val="0"/>
              <w:marTop w:val="0"/>
              <w:marBottom w:val="0"/>
              <w:divBdr>
                <w:top w:val="none" w:sz="0" w:space="0" w:color="auto"/>
                <w:left w:val="none" w:sz="0" w:space="0" w:color="auto"/>
                <w:bottom w:val="none" w:sz="0" w:space="0" w:color="auto"/>
                <w:right w:val="none" w:sz="0" w:space="0" w:color="auto"/>
              </w:divBdr>
              <w:divsChild>
                <w:div w:id="20222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sac-isc.gc.ca/REA-IBD" TargetMode="External"/><Relationship Id="rId18" Type="http://schemas.openxmlformats.org/officeDocument/2006/relationships/hyperlink" Target="https://www.international.gc.ca/trade-commerce/trade-agreements-accords-commerciaux/agr-acc/cptpp-ptpgp/index.aspx?lang=fr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fta-alec.ca/fr/accord-sur-le-commerce-interieur/" TargetMode="External"/><Relationship Id="rId7" Type="http://schemas.openxmlformats.org/officeDocument/2006/relationships/settings" Target="settings.xml"/><Relationship Id="rId12" Type="http://schemas.openxmlformats.org/officeDocument/2006/relationships/hyperlink" Target="https://ontariogov.sharepoint.com/sites/CAB/SupplyChain/BOBIBOBIA/For%20REVIEW/ontario.ca/page/ontario-business-registry"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nternational.gc.ca/trade-commerce/trade-agreements-accords-commerciaux/agr-acc/ceta-aecg/index.aspx?lang=fr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ingbusiness@supplyontario.ca" TargetMode="External"/><Relationship Id="rId24" Type="http://schemas.openxmlformats.org/officeDocument/2006/relationships/hyperlink" Target="https://www.international.gc.ca/trade-commerce/trade-agreements-accords-commerciaux/agr-acc/cuktca-acccru/trade-continuity-agreement.aspx?lang=fr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ontario.ca/fr/document/accord-de-commerce-et-de-cooperation-entre-le-quebec-et-lontario" TargetMode="External"/><Relationship Id="rId10" Type="http://schemas.openxmlformats.org/officeDocument/2006/relationships/endnotes" Target="endnotes.xml"/><Relationship Id="rId19" Type="http://schemas.openxmlformats.org/officeDocument/2006/relationships/hyperlink" Target="https://www.wto.org/french/tratop_f/gproc_f/memobs_f.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ontario.ca/ops/procurement-tools-and-templates" TargetMode="External"/><Relationship Id="rId22" Type="http://schemas.openxmlformats.org/officeDocument/2006/relationships/hyperlink" Target="https://www.cfta-ale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2">
      <a:dk1>
        <a:srgbClr val="000000"/>
      </a:dk1>
      <a:lt1>
        <a:sysClr val="window" lastClr="FFFFFF"/>
      </a:lt1>
      <a:dk2>
        <a:srgbClr val="006E81"/>
      </a:dk2>
      <a:lt2>
        <a:srgbClr val="4C4C4E"/>
      </a:lt2>
      <a:accent1>
        <a:srgbClr val="4D3F5A"/>
      </a:accent1>
      <a:accent2>
        <a:srgbClr val="7C6757"/>
      </a:accent2>
      <a:accent3>
        <a:srgbClr val="94E4CC"/>
      </a:accent3>
      <a:accent4>
        <a:srgbClr val="B892B1"/>
      </a:accent4>
      <a:accent5>
        <a:srgbClr val="ADDC91"/>
      </a:accent5>
      <a:accent6>
        <a:srgbClr val="FFD36F"/>
      </a:accent6>
      <a:hlink>
        <a:srgbClr val="006E81"/>
      </a:hlink>
      <a:folHlink>
        <a:srgbClr val="4D3F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F9C30A5672B4B9271664ED20111A4" ma:contentTypeVersion="6" ma:contentTypeDescription="Create a new document." ma:contentTypeScope="" ma:versionID="0ef4e765a2f5f0f34ee310b43f482b5a">
  <xsd:schema xmlns:xsd="http://www.w3.org/2001/XMLSchema" xmlns:xs="http://www.w3.org/2001/XMLSchema" xmlns:p="http://schemas.microsoft.com/office/2006/metadata/properties" xmlns:ns2="5d6b8103-7e85-41b9-8728-bec73677a293" xmlns:ns3="f652a4b7-4d57-4f23-81b1-6b63516b1e98" targetNamespace="http://schemas.microsoft.com/office/2006/metadata/properties" ma:root="true" ma:fieldsID="966b815b3479895a8ccdb71f8dcfad96" ns2:_="" ns3:_="">
    <xsd:import namespace="5d6b8103-7e85-41b9-8728-bec73677a293"/>
    <xsd:import namespace="f652a4b7-4d57-4f23-81b1-6b63516b1e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b8103-7e85-41b9-8728-bec73677a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2a4b7-4d57-4f23-81b1-6b63516b1e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652a4b7-4d57-4f23-81b1-6b63516b1e98">
      <UserInfo>
        <DisplayName>Olinski, Sarah (She/Her) (MECP)</DisplayName>
        <AccountId>662</AccountId>
        <AccountType/>
      </UserInfo>
      <UserInfo>
        <DisplayName>Hsu, Jim YC (TBS)</DisplayName>
        <AccountId>993</AccountId>
        <AccountType/>
      </UserInfo>
      <UserInfo>
        <DisplayName>SharingLinks.2ae4da14-2f9a-492a-8cee-6094342cb4d5.Flexible.6fa732a0-84dc-40a7-986d-2064d4a5fec8</DisplayName>
        <AccountId>3147</AccountId>
        <AccountType/>
      </UserInfo>
      <UserInfo>
        <DisplayName>SharingLinks.2f6fcc17-594b-42e8-a50c-fa656e13f23d.OrganizationEdit.58d5cf7e-27ea-43ec-a648-38f34a907e73</DisplayName>
        <AccountId>2648</AccountId>
        <AccountType/>
      </UserInfo>
      <UserInfo>
        <DisplayName>SharingLinks.42e6c732-e4cc-4d62-8cc3-2e62a8b2a576.Flexible.0f3921f9-5305-40c0-9d24-9112de4b4ca7</DisplayName>
        <AccountId>164</AccountId>
        <AccountType/>
      </UserInfo>
      <UserInfo>
        <DisplayName>Viswanathan, Lorna (MPBSD)</DisplayName>
        <AccountId>4056</AccountId>
        <AccountType/>
      </UserInfo>
      <UserInfo>
        <DisplayName>Viswanathan, Lorna (TBS)</DisplayName>
        <AccountId>12590</AccountId>
        <AccountType/>
      </UserInfo>
      <UserInfo>
        <DisplayName>Alexe, Andrei (TBS)</DisplayName>
        <AccountId>5654</AccountId>
        <AccountType/>
      </UserInfo>
      <UserInfo>
        <DisplayName>Chakravorty, Sarvani (TBS)</DisplayName>
        <AccountId>5059</AccountId>
        <AccountType/>
      </UserInfo>
      <UserInfo>
        <DisplayName>Lewis, Mark (TBS)</DisplayName>
        <AccountId>2264</AccountId>
        <AccountType/>
      </UserInfo>
      <UserInfo>
        <DisplayName>Fera, Max (TBS)</DisplayName>
        <AccountId>8968</AccountId>
        <AccountType/>
      </UserInfo>
      <UserInfo>
        <DisplayName>Kim, Daniel (TBS)</DisplayName>
        <AccountId>5669</AccountId>
        <AccountType/>
      </UserInfo>
      <UserInfo>
        <DisplayName>Wong, Mee Lan (TBS)</DisplayName>
        <AccountId>5662</AccountId>
        <AccountType/>
      </UserInfo>
      <UserInfo>
        <DisplayName>Baranriz, Helina (TBS)</DisplayName>
        <AccountId>5650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0A4E9-B6FD-4F58-8BB3-3FF76B69B0A3}">
  <ds:schemaRefs>
    <ds:schemaRef ds:uri="http://schemas.openxmlformats.org/officeDocument/2006/bibliography"/>
  </ds:schemaRefs>
</ds:datastoreItem>
</file>

<file path=customXml/itemProps2.xml><?xml version="1.0" encoding="utf-8"?>
<ds:datastoreItem xmlns:ds="http://schemas.openxmlformats.org/officeDocument/2006/customXml" ds:itemID="{4CBF0E41-1354-4284-A8E2-BB5D1D27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b8103-7e85-41b9-8728-bec73677a293"/>
    <ds:schemaRef ds:uri="f652a4b7-4d57-4f23-81b1-6b63516b1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5973C-F70D-4B90-9655-DABA0446ACD8}">
  <ds:schemaRefs>
    <ds:schemaRef ds:uri="http://schemas.microsoft.com/office/2006/metadata/properties"/>
    <ds:schemaRef ds:uri="http://schemas.microsoft.com/office/infopath/2007/PartnerControls"/>
    <ds:schemaRef ds:uri="f652a4b7-4d57-4f23-81b1-6b63516b1e98"/>
  </ds:schemaRefs>
</ds:datastoreItem>
</file>

<file path=customXml/itemProps4.xml><?xml version="1.0" encoding="utf-8"?>
<ds:datastoreItem xmlns:ds="http://schemas.openxmlformats.org/officeDocument/2006/customXml" ds:itemID="{7ADC5906-D0FD-45B3-97FA-FFBDABE5FD16}">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2</TotalTime>
  <Pages>49</Pages>
  <Words>9238</Words>
  <Characters>52661</Characters>
  <Application>Microsoft Office Word</Application>
  <DocSecurity>0</DocSecurity>
  <Lines>438</Lines>
  <Paragraphs>123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MGS</Company>
  <LinksUpToDate>false</LinksUpToDate>
  <CharactersWithSpaces>61776</CharactersWithSpaces>
  <SharedDoc>false</SharedDoc>
  <HLinks>
    <vt:vector size="312" baseType="variant">
      <vt:variant>
        <vt:i4>7209070</vt:i4>
      </vt:variant>
      <vt:variant>
        <vt:i4>258</vt:i4>
      </vt:variant>
      <vt:variant>
        <vt:i4>0</vt:i4>
      </vt:variant>
      <vt:variant>
        <vt:i4>5</vt:i4>
      </vt:variant>
      <vt:variant>
        <vt:lpwstr>https://www.international.gc.ca/trade-commerce/trade-agreements-accords-commerciaux/agr-acc/cuktca-acccru/trade-continuity-agreement.aspx?lang=eng</vt:lpwstr>
      </vt:variant>
      <vt:variant>
        <vt:lpwstr/>
      </vt:variant>
      <vt:variant>
        <vt:i4>5439582</vt:i4>
      </vt:variant>
      <vt:variant>
        <vt:i4>255</vt:i4>
      </vt:variant>
      <vt:variant>
        <vt:i4>0</vt:i4>
      </vt:variant>
      <vt:variant>
        <vt:i4>5</vt:i4>
      </vt:variant>
      <vt:variant>
        <vt:lpwstr>https://www.ontario.ca/document/trade-and-cooperation-agreement-between-ontario-and-quebec-0</vt:lpwstr>
      </vt:variant>
      <vt:variant>
        <vt:lpwstr/>
      </vt:variant>
      <vt:variant>
        <vt:i4>1310736</vt:i4>
      </vt:variant>
      <vt:variant>
        <vt:i4>252</vt:i4>
      </vt:variant>
      <vt:variant>
        <vt:i4>0</vt:i4>
      </vt:variant>
      <vt:variant>
        <vt:i4>5</vt:i4>
      </vt:variant>
      <vt:variant>
        <vt:lpwstr>https://www.international.gc.ca/trade-commerce/trade-agreements-accords-commerciaux/agr-acc/ceta-aecg/index.aspx?lang=eng</vt:lpwstr>
      </vt:variant>
      <vt:variant>
        <vt:lpwstr/>
      </vt:variant>
      <vt:variant>
        <vt:i4>262166</vt:i4>
      </vt:variant>
      <vt:variant>
        <vt:i4>249</vt:i4>
      </vt:variant>
      <vt:variant>
        <vt:i4>0</vt:i4>
      </vt:variant>
      <vt:variant>
        <vt:i4>5</vt:i4>
      </vt:variant>
      <vt:variant>
        <vt:lpwstr>https://www.cfta-alec.ca/</vt:lpwstr>
      </vt:variant>
      <vt:variant>
        <vt:lpwstr/>
      </vt:variant>
      <vt:variant>
        <vt:i4>7733314</vt:i4>
      </vt:variant>
      <vt:variant>
        <vt:i4>246</vt:i4>
      </vt:variant>
      <vt:variant>
        <vt:i4>0</vt:i4>
      </vt:variant>
      <vt:variant>
        <vt:i4>5</vt:i4>
      </vt:variant>
      <vt:variant>
        <vt:lpwstr>https://www.wto.org/english/tratop_e/gproc_e/memobs_e.htm</vt:lpwstr>
      </vt:variant>
      <vt:variant>
        <vt:lpwstr/>
      </vt:variant>
      <vt:variant>
        <vt:i4>2883647</vt:i4>
      </vt:variant>
      <vt:variant>
        <vt:i4>243</vt:i4>
      </vt:variant>
      <vt:variant>
        <vt:i4>0</vt:i4>
      </vt:variant>
      <vt:variant>
        <vt:i4>5</vt:i4>
      </vt:variant>
      <vt:variant>
        <vt:lpwstr>https://www.international.gc.ca/trade-commerce/trade-agreements-accords-commerciaux/agr-acc/cptpp-ptpgp/index.aspx?lang=eng</vt:lpwstr>
      </vt:variant>
      <vt:variant>
        <vt:lpwstr/>
      </vt:variant>
      <vt:variant>
        <vt:i4>5767246</vt:i4>
      </vt:variant>
      <vt:variant>
        <vt:i4>240</vt:i4>
      </vt:variant>
      <vt:variant>
        <vt:i4>0</vt:i4>
      </vt:variant>
      <vt:variant>
        <vt:i4>5</vt:i4>
      </vt:variant>
      <vt:variant>
        <vt:lpwstr>https://www.cfta-alec.ca/agreement-on-internal-trade/</vt:lpwstr>
      </vt:variant>
      <vt:variant>
        <vt:lpwstr/>
      </vt:variant>
      <vt:variant>
        <vt:i4>6422647</vt:i4>
      </vt:variant>
      <vt:variant>
        <vt:i4>237</vt:i4>
      </vt:variant>
      <vt:variant>
        <vt:i4>0</vt:i4>
      </vt:variant>
      <vt:variant>
        <vt:i4>5</vt:i4>
      </vt:variant>
      <vt:variant>
        <vt:lpwstr/>
      </vt:variant>
      <vt:variant>
        <vt:lpwstr>Definition</vt:lpwstr>
      </vt:variant>
      <vt:variant>
        <vt:i4>6422546</vt:i4>
      </vt:variant>
      <vt:variant>
        <vt:i4>234</vt:i4>
      </vt:variant>
      <vt:variant>
        <vt:i4>0</vt:i4>
      </vt:variant>
      <vt:variant>
        <vt:i4>5</vt:i4>
      </vt:variant>
      <vt:variant>
        <vt:lpwstr/>
      </vt:variant>
      <vt:variant>
        <vt:lpwstr>_Appendix_B:_Example</vt:lpwstr>
      </vt:variant>
      <vt:variant>
        <vt:i4>6291486</vt:i4>
      </vt:variant>
      <vt:variant>
        <vt:i4>231</vt:i4>
      </vt:variant>
      <vt:variant>
        <vt:i4>0</vt:i4>
      </vt:variant>
      <vt:variant>
        <vt:i4>5</vt:i4>
      </vt:variant>
      <vt:variant>
        <vt:lpwstr/>
      </vt:variant>
      <vt:variant>
        <vt:lpwstr>_Appendix_A:_Weighted</vt:lpwstr>
      </vt:variant>
      <vt:variant>
        <vt:i4>1507352</vt:i4>
      </vt:variant>
      <vt:variant>
        <vt:i4>228</vt:i4>
      </vt:variant>
      <vt:variant>
        <vt:i4>0</vt:i4>
      </vt:variant>
      <vt:variant>
        <vt:i4>5</vt:i4>
      </vt:variant>
      <vt:variant>
        <vt:lpwstr>https://intra.ontario.ca/ops/procurement-tools-and-templates</vt:lpwstr>
      </vt:variant>
      <vt:variant>
        <vt:lpwstr/>
      </vt:variant>
      <vt:variant>
        <vt:i4>7077891</vt:i4>
      </vt:variant>
      <vt:variant>
        <vt:i4>225</vt:i4>
      </vt:variant>
      <vt:variant>
        <vt:i4>0</vt:i4>
      </vt:variant>
      <vt:variant>
        <vt:i4>5</vt:i4>
      </vt:variant>
      <vt:variant>
        <vt:lpwstr/>
      </vt:variant>
      <vt:variant>
        <vt:lpwstr>_Appendix_C:_List</vt:lpwstr>
      </vt:variant>
      <vt:variant>
        <vt:i4>7077891</vt:i4>
      </vt:variant>
      <vt:variant>
        <vt:i4>222</vt:i4>
      </vt:variant>
      <vt:variant>
        <vt:i4>0</vt:i4>
      </vt:variant>
      <vt:variant>
        <vt:i4>5</vt:i4>
      </vt:variant>
      <vt:variant>
        <vt:lpwstr/>
      </vt:variant>
      <vt:variant>
        <vt:lpwstr>_Appendix_C:_List</vt:lpwstr>
      </vt:variant>
      <vt:variant>
        <vt:i4>1769540</vt:i4>
      </vt:variant>
      <vt:variant>
        <vt:i4>219</vt:i4>
      </vt:variant>
      <vt:variant>
        <vt:i4>0</vt:i4>
      </vt:variant>
      <vt:variant>
        <vt:i4>5</vt:i4>
      </vt:variant>
      <vt:variant>
        <vt:lpwstr>https://www.sac-isc.gc.ca/eng/1100100033057/1610797769658</vt:lpwstr>
      </vt:variant>
      <vt:variant>
        <vt:lpwstr/>
      </vt:variant>
      <vt:variant>
        <vt:i4>6357088</vt:i4>
      </vt:variant>
      <vt:variant>
        <vt:i4>216</vt:i4>
      </vt:variant>
      <vt:variant>
        <vt:i4>0</vt:i4>
      </vt:variant>
      <vt:variant>
        <vt:i4>5</vt:i4>
      </vt:variant>
      <vt:variant>
        <vt:lpwstr>https://ontariogov.sharepoint.com/sites/CAB/SupplyChain/BOBIBOBIA/For REVIEW/ontario.ca/page/ontario-business-registry</vt:lpwstr>
      </vt:variant>
      <vt:variant>
        <vt:lpwstr>section-1</vt:lpwstr>
      </vt:variant>
      <vt:variant>
        <vt:i4>7536692</vt:i4>
      </vt:variant>
      <vt:variant>
        <vt:i4>213</vt:i4>
      </vt:variant>
      <vt:variant>
        <vt:i4>0</vt:i4>
      </vt:variant>
      <vt:variant>
        <vt:i4>5</vt:i4>
      </vt:variant>
      <vt:variant>
        <vt:lpwstr>https://ontariogov.sharepoint.com/sites/CAB/SupplyChain/BOBIBOBIA/For REVIEW/occ.ca/business-directory/</vt:lpwstr>
      </vt:variant>
      <vt:variant>
        <vt:lpwstr/>
      </vt:variant>
      <vt:variant>
        <vt:i4>6422647</vt:i4>
      </vt:variant>
      <vt:variant>
        <vt:i4>210</vt:i4>
      </vt:variant>
      <vt:variant>
        <vt:i4>0</vt:i4>
      </vt:variant>
      <vt:variant>
        <vt:i4>5</vt:i4>
      </vt:variant>
      <vt:variant>
        <vt:lpwstr/>
      </vt:variant>
      <vt:variant>
        <vt:lpwstr>Definition</vt:lpwstr>
      </vt:variant>
      <vt:variant>
        <vt:i4>524339</vt:i4>
      </vt:variant>
      <vt:variant>
        <vt:i4>207</vt:i4>
      </vt:variant>
      <vt:variant>
        <vt:i4>0</vt:i4>
      </vt:variant>
      <vt:variant>
        <vt:i4>5</vt:i4>
      </vt:variant>
      <vt:variant>
        <vt:lpwstr>mailto:doingbusiness@supplyontario.ca</vt:lpwstr>
      </vt:variant>
      <vt:variant>
        <vt:lpwstr/>
      </vt:variant>
      <vt:variant>
        <vt:i4>1114160</vt:i4>
      </vt:variant>
      <vt:variant>
        <vt:i4>200</vt:i4>
      </vt:variant>
      <vt:variant>
        <vt:i4>0</vt:i4>
      </vt:variant>
      <vt:variant>
        <vt:i4>5</vt:i4>
      </vt:variant>
      <vt:variant>
        <vt:lpwstr/>
      </vt:variant>
      <vt:variant>
        <vt:lpwstr>_Toc161060603</vt:lpwstr>
      </vt:variant>
      <vt:variant>
        <vt:i4>1114160</vt:i4>
      </vt:variant>
      <vt:variant>
        <vt:i4>194</vt:i4>
      </vt:variant>
      <vt:variant>
        <vt:i4>0</vt:i4>
      </vt:variant>
      <vt:variant>
        <vt:i4>5</vt:i4>
      </vt:variant>
      <vt:variant>
        <vt:lpwstr/>
      </vt:variant>
      <vt:variant>
        <vt:lpwstr>_Toc161060602</vt:lpwstr>
      </vt:variant>
      <vt:variant>
        <vt:i4>1114160</vt:i4>
      </vt:variant>
      <vt:variant>
        <vt:i4>188</vt:i4>
      </vt:variant>
      <vt:variant>
        <vt:i4>0</vt:i4>
      </vt:variant>
      <vt:variant>
        <vt:i4>5</vt:i4>
      </vt:variant>
      <vt:variant>
        <vt:lpwstr/>
      </vt:variant>
      <vt:variant>
        <vt:lpwstr>_Toc161060601</vt:lpwstr>
      </vt:variant>
      <vt:variant>
        <vt:i4>1114160</vt:i4>
      </vt:variant>
      <vt:variant>
        <vt:i4>182</vt:i4>
      </vt:variant>
      <vt:variant>
        <vt:i4>0</vt:i4>
      </vt:variant>
      <vt:variant>
        <vt:i4>5</vt:i4>
      </vt:variant>
      <vt:variant>
        <vt:lpwstr/>
      </vt:variant>
      <vt:variant>
        <vt:lpwstr>_Toc161060600</vt:lpwstr>
      </vt:variant>
      <vt:variant>
        <vt:i4>1572915</vt:i4>
      </vt:variant>
      <vt:variant>
        <vt:i4>176</vt:i4>
      </vt:variant>
      <vt:variant>
        <vt:i4>0</vt:i4>
      </vt:variant>
      <vt:variant>
        <vt:i4>5</vt:i4>
      </vt:variant>
      <vt:variant>
        <vt:lpwstr/>
      </vt:variant>
      <vt:variant>
        <vt:lpwstr>_Toc161060599</vt:lpwstr>
      </vt:variant>
      <vt:variant>
        <vt:i4>1572915</vt:i4>
      </vt:variant>
      <vt:variant>
        <vt:i4>170</vt:i4>
      </vt:variant>
      <vt:variant>
        <vt:i4>0</vt:i4>
      </vt:variant>
      <vt:variant>
        <vt:i4>5</vt:i4>
      </vt:variant>
      <vt:variant>
        <vt:lpwstr/>
      </vt:variant>
      <vt:variant>
        <vt:lpwstr>_Toc161060598</vt:lpwstr>
      </vt:variant>
      <vt:variant>
        <vt:i4>1572915</vt:i4>
      </vt:variant>
      <vt:variant>
        <vt:i4>164</vt:i4>
      </vt:variant>
      <vt:variant>
        <vt:i4>0</vt:i4>
      </vt:variant>
      <vt:variant>
        <vt:i4>5</vt:i4>
      </vt:variant>
      <vt:variant>
        <vt:lpwstr/>
      </vt:variant>
      <vt:variant>
        <vt:lpwstr>_Toc161060597</vt:lpwstr>
      </vt:variant>
      <vt:variant>
        <vt:i4>1572915</vt:i4>
      </vt:variant>
      <vt:variant>
        <vt:i4>158</vt:i4>
      </vt:variant>
      <vt:variant>
        <vt:i4>0</vt:i4>
      </vt:variant>
      <vt:variant>
        <vt:i4>5</vt:i4>
      </vt:variant>
      <vt:variant>
        <vt:lpwstr/>
      </vt:variant>
      <vt:variant>
        <vt:lpwstr>_Toc161060596</vt:lpwstr>
      </vt:variant>
      <vt:variant>
        <vt:i4>1572915</vt:i4>
      </vt:variant>
      <vt:variant>
        <vt:i4>152</vt:i4>
      </vt:variant>
      <vt:variant>
        <vt:i4>0</vt:i4>
      </vt:variant>
      <vt:variant>
        <vt:i4>5</vt:i4>
      </vt:variant>
      <vt:variant>
        <vt:lpwstr/>
      </vt:variant>
      <vt:variant>
        <vt:lpwstr>_Toc161060595</vt:lpwstr>
      </vt:variant>
      <vt:variant>
        <vt:i4>1572915</vt:i4>
      </vt:variant>
      <vt:variant>
        <vt:i4>146</vt:i4>
      </vt:variant>
      <vt:variant>
        <vt:i4>0</vt:i4>
      </vt:variant>
      <vt:variant>
        <vt:i4>5</vt:i4>
      </vt:variant>
      <vt:variant>
        <vt:lpwstr/>
      </vt:variant>
      <vt:variant>
        <vt:lpwstr>_Toc161060594</vt:lpwstr>
      </vt:variant>
      <vt:variant>
        <vt:i4>1572915</vt:i4>
      </vt:variant>
      <vt:variant>
        <vt:i4>140</vt:i4>
      </vt:variant>
      <vt:variant>
        <vt:i4>0</vt:i4>
      </vt:variant>
      <vt:variant>
        <vt:i4>5</vt:i4>
      </vt:variant>
      <vt:variant>
        <vt:lpwstr/>
      </vt:variant>
      <vt:variant>
        <vt:lpwstr>_Toc161060593</vt:lpwstr>
      </vt:variant>
      <vt:variant>
        <vt:i4>1572915</vt:i4>
      </vt:variant>
      <vt:variant>
        <vt:i4>134</vt:i4>
      </vt:variant>
      <vt:variant>
        <vt:i4>0</vt:i4>
      </vt:variant>
      <vt:variant>
        <vt:i4>5</vt:i4>
      </vt:variant>
      <vt:variant>
        <vt:lpwstr/>
      </vt:variant>
      <vt:variant>
        <vt:lpwstr>_Toc161060592</vt:lpwstr>
      </vt:variant>
      <vt:variant>
        <vt:i4>1572915</vt:i4>
      </vt:variant>
      <vt:variant>
        <vt:i4>128</vt:i4>
      </vt:variant>
      <vt:variant>
        <vt:i4>0</vt:i4>
      </vt:variant>
      <vt:variant>
        <vt:i4>5</vt:i4>
      </vt:variant>
      <vt:variant>
        <vt:lpwstr/>
      </vt:variant>
      <vt:variant>
        <vt:lpwstr>_Toc161060591</vt:lpwstr>
      </vt:variant>
      <vt:variant>
        <vt:i4>1572915</vt:i4>
      </vt:variant>
      <vt:variant>
        <vt:i4>122</vt:i4>
      </vt:variant>
      <vt:variant>
        <vt:i4>0</vt:i4>
      </vt:variant>
      <vt:variant>
        <vt:i4>5</vt:i4>
      </vt:variant>
      <vt:variant>
        <vt:lpwstr/>
      </vt:variant>
      <vt:variant>
        <vt:lpwstr>_Toc161060590</vt:lpwstr>
      </vt:variant>
      <vt:variant>
        <vt:i4>1638451</vt:i4>
      </vt:variant>
      <vt:variant>
        <vt:i4>116</vt:i4>
      </vt:variant>
      <vt:variant>
        <vt:i4>0</vt:i4>
      </vt:variant>
      <vt:variant>
        <vt:i4>5</vt:i4>
      </vt:variant>
      <vt:variant>
        <vt:lpwstr/>
      </vt:variant>
      <vt:variant>
        <vt:lpwstr>_Toc161060589</vt:lpwstr>
      </vt:variant>
      <vt:variant>
        <vt:i4>1638451</vt:i4>
      </vt:variant>
      <vt:variant>
        <vt:i4>110</vt:i4>
      </vt:variant>
      <vt:variant>
        <vt:i4>0</vt:i4>
      </vt:variant>
      <vt:variant>
        <vt:i4>5</vt:i4>
      </vt:variant>
      <vt:variant>
        <vt:lpwstr/>
      </vt:variant>
      <vt:variant>
        <vt:lpwstr>_Toc161060588</vt:lpwstr>
      </vt:variant>
      <vt:variant>
        <vt:i4>1638451</vt:i4>
      </vt:variant>
      <vt:variant>
        <vt:i4>104</vt:i4>
      </vt:variant>
      <vt:variant>
        <vt:i4>0</vt:i4>
      </vt:variant>
      <vt:variant>
        <vt:i4>5</vt:i4>
      </vt:variant>
      <vt:variant>
        <vt:lpwstr/>
      </vt:variant>
      <vt:variant>
        <vt:lpwstr>_Toc161060587</vt:lpwstr>
      </vt:variant>
      <vt:variant>
        <vt:i4>1638451</vt:i4>
      </vt:variant>
      <vt:variant>
        <vt:i4>98</vt:i4>
      </vt:variant>
      <vt:variant>
        <vt:i4>0</vt:i4>
      </vt:variant>
      <vt:variant>
        <vt:i4>5</vt:i4>
      </vt:variant>
      <vt:variant>
        <vt:lpwstr/>
      </vt:variant>
      <vt:variant>
        <vt:lpwstr>_Toc161060586</vt:lpwstr>
      </vt:variant>
      <vt:variant>
        <vt:i4>1638451</vt:i4>
      </vt:variant>
      <vt:variant>
        <vt:i4>92</vt:i4>
      </vt:variant>
      <vt:variant>
        <vt:i4>0</vt:i4>
      </vt:variant>
      <vt:variant>
        <vt:i4>5</vt:i4>
      </vt:variant>
      <vt:variant>
        <vt:lpwstr/>
      </vt:variant>
      <vt:variant>
        <vt:lpwstr>_Toc161060585</vt:lpwstr>
      </vt:variant>
      <vt:variant>
        <vt:i4>1638451</vt:i4>
      </vt:variant>
      <vt:variant>
        <vt:i4>86</vt:i4>
      </vt:variant>
      <vt:variant>
        <vt:i4>0</vt:i4>
      </vt:variant>
      <vt:variant>
        <vt:i4>5</vt:i4>
      </vt:variant>
      <vt:variant>
        <vt:lpwstr/>
      </vt:variant>
      <vt:variant>
        <vt:lpwstr>_Toc161060584</vt:lpwstr>
      </vt:variant>
      <vt:variant>
        <vt:i4>1638451</vt:i4>
      </vt:variant>
      <vt:variant>
        <vt:i4>80</vt:i4>
      </vt:variant>
      <vt:variant>
        <vt:i4>0</vt:i4>
      </vt:variant>
      <vt:variant>
        <vt:i4>5</vt:i4>
      </vt:variant>
      <vt:variant>
        <vt:lpwstr/>
      </vt:variant>
      <vt:variant>
        <vt:lpwstr>_Toc161060583</vt:lpwstr>
      </vt:variant>
      <vt:variant>
        <vt:i4>1638451</vt:i4>
      </vt:variant>
      <vt:variant>
        <vt:i4>74</vt:i4>
      </vt:variant>
      <vt:variant>
        <vt:i4>0</vt:i4>
      </vt:variant>
      <vt:variant>
        <vt:i4>5</vt:i4>
      </vt:variant>
      <vt:variant>
        <vt:lpwstr/>
      </vt:variant>
      <vt:variant>
        <vt:lpwstr>_Toc161060582</vt:lpwstr>
      </vt:variant>
      <vt:variant>
        <vt:i4>1638451</vt:i4>
      </vt:variant>
      <vt:variant>
        <vt:i4>68</vt:i4>
      </vt:variant>
      <vt:variant>
        <vt:i4>0</vt:i4>
      </vt:variant>
      <vt:variant>
        <vt:i4>5</vt:i4>
      </vt:variant>
      <vt:variant>
        <vt:lpwstr/>
      </vt:variant>
      <vt:variant>
        <vt:lpwstr>_Toc161060581</vt:lpwstr>
      </vt:variant>
      <vt:variant>
        <vt:i4>1638451</vt:i4>
      </vt:variant>
      <vt:variant>
        <vt:i4>62</vt:i4>
      </vt:variant>
      <vt:variant>
        <vt:i4>0</vt:i4>
      </vt:variant>
      <vt:variant>
        <vt:i4>5</vt:i4>
      </vt:variant>
      <vt:variant>
        <vt:lpwstr/>
      </vt:variant>
      <vt:variant>
        <vt:lpwstr>_Toc161060580</vt:lpwstr>
      </vt:variant>
      <vt:variant>
        <vt:i4>1441843</vt:i4>
      </vt:variant>
      <vt:variant>
        <vt:i4>56</vt:i4>
      </vt:variant>
      <vt:variant>
        <vt:i4>0</vt:i4>
      </vt:variant>
      <vt:variant>
        <vt:i4>5</vt:i4>
      </vt:variant>
      <vt:variant>
        <vt:lpwstr/>
      </vt:variant>
      <vt:variant>
        <vt:lpwstr>_Toc161060579</vt:lpwstr>
      </vt:variant>
      <vt:variant>
        <vt:i4>1441843</vt:i4>
      </vt:variant>
      <vt:variant>
        <vt:i4>50</vt:i4>
      </vt:variant>
      <vt:variant>
        <vt:i4>0</vt:i4>
      </vt:variant>
      <vt:variant>
        <vt:i4>5</vt:i4>
      </vt:variant>
      <vt:variant>
        <vt:lpwstr/>
      </vt:variant>
      <vt:variant>
        <vt:lpwstr>_Toc161060578</vt:lpwstr>
      </vt:variant>
      <vt:variant>
        <vt:i4>1441843</vt:i4>
      </vt:variant>
      <vt:variant>
        <vt:i4>44</vt:i4>
      </vt:variant>
      <vt:variant>
        <vt:i4>0</vt:i4>
      </vt:variant>
      <vt:variant>
        <vt:i4>5</vt:i4>
      </vt:variant>
      <vt:variant>
        <vt:lpwstr/>
      </vt:variant>
      <vt:variant>
        <vt:lpwstr>_Toc161060577</vt:lpwstr>
      </vt:variant>
      <vt:variant>
        <vt:i4>1441843</vt:i4>
      </vt:variant>
      <vt:variant>
        <vt:i4>38</vt:i4>
      </vt:variant>
      <vt:variant>
        <vt:i4>0</vt:i4>
      </vt:variant>
      <vt:variant>
        <vt:i4>5</vt:i4>
      </vt:variant>
      <vt:variant>
        <vt:lpwstr/>
      </vt:variant>
      <vt:variant>
        <vt:lpwstr>_Toc161060576</vt:lpwstr>
      </vt:variant>
      <vt:variant>
        <vt:i4>1441843</vt:i4>
      </vt:variant>
      <vt:variant>
        <vt:i4>32</vt:i4>
      </vt:variant>
      <vt:variant>
        <vt:i4>0</vt:i4>
      </vt:variant>
      <vt:variant>
        <vt:i4>5</vt:i4>
      </vt:variant>
      <vt:variant>
        <vt:lpwstr/>
      </vt:variant>
      <vt:variant>
        <vt:lpwstr>_Toc161060575</vt:lpwstr>
      </vt:variant>
      <vt:variant>
        <vt:i4>1441843</vt:i4>
      </vt:variant>
      <vt:variant>
        <vt:i4>26</vt:i4>
      </vt:variant>
      <vt:variant>
        <vt:i4>0</vt:i4>
      </vt:variant>
      <vt:variant>
        <vt:i4>5</vt:i4>
      </vt:variant>
      <vt:variant>
        <vt:lpwstr/>
      </vt:variant>
      <vt:variant>
        <vt:lpwstr>_Toc161060574</vt:lpwstr>
      </vt:variant>
      <vt:variant>
        <vt:i4>1441843</vt:i4>
      </vt:variant>
      <vt:variant>
        <vt:i4>20</vt:i4>
      </vt:variant>
      <vt:variant>
        <vt:i4>0</vt:i4>
      </vt:variant>
      <vt:variant>
        <vt:i4>5</vt:i4>
      </vt:variant>
      <vt:variant>
        <vt:lpwstr/>
      </vt:variant>
      <vt:variant>
        <vt:lpwstr>_Toc161060573</vt:lpwstr>
      </vt:variant>
      <vt:variant>
        <vt:i4>1441843</vt:i4>
      </vt:variant>
      <vt:variant>
        <vt:i4>14</vt:i4>
      </vt:variant>
      <vt:variant>
        <vt:i4>0</vt:i4>
      </vt:variant>
      <vt:variant>
        <vt:i4>5</vt:i4>
      </vt:variant>
      <vt:variant>
        <vt:lpwstr/>
      </vt:variant>
      <vt:variant>
        <vt:lpwstr>_Toc161060572</vt:lpwstr>
      </vt:variant>
      <vt:variant>
        <vt:i4>1441843</vt:i4>
      </vt:variant>
      <vt:variant>
        <vt:i4>8</vt:i4>
      </vt:variant>
      <vt:variant>
        <vt:i4>0</vt:i4>
      </vt:variant>
      <vt:variant>
        <vt:i4>5</vt:i4>
      </vt:variant>
      <vt:variant>
        <vt:lpwstr/>
      </vt:variant>
      <vt:variant>
        <vt:lpwstr>_Toc161060571</vt:lpwstr>
      </vt:variant>
      <vt:variant>
        <vt:i4>1441843</vt:i4>
      </vt:variant>
      <vt:variant>
        <vt:i4>2</vt:i4>
      </vt:variant>
      <vt:variant>
        <vt:i4>0</vt:i4>
      </vt:variant>
      <vt:variant>
        <vt:i4>5</vt:i4>
      </vt:variant>
      <vt:variant>
        <vt:lpwstr/>
      </vt:variant>
      <vt:variant>
        <vt:lpwstr>_Toc161060570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Vega</dc:creator>
  <cp:keywords/>
  <dc:description/>
  <cp:lastModifiedBy>Spence, Jason (CSCO)</cp:lastModifiedBy>
  <cp:revision>2</cp:revision>
  <cp:lastPrinted>2024-08-19T17:47:00Z</cp:lastPrinted>
  <dcterms:created xsi:type="dcterms:W3CDTF">2024-11-28T16:44:00Z</dcterms:created>
  <dcterms:modified xsi:type="dcterms:W3CDTF">2024-11-28T16:44:00Z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0x0101004A6F9C30A5672B4B9271664ED20111A4</vt:lpwstr>
  </property>
  <property fmtid="{D5CDD505-2E9C-101B-9397-08002B2CF9AE}" pid="3" name="MSIP_Label_034a106e-6316-442c-ad35-738afd673d2b_Enabled">
    <vt:lpwstr>true</vt:lpwstr>
  </property>
  <property fmtid="{D5CDD505-2E9C-101B-9397-08002B2CF9AE}" pid="4" name="MSIP_Label_034a106e-6316-442c-ad35-738afd673d2b_SetDate">
    <vt:lpwstr>2024-08-23T16:18:39Z</vt:lpwstr>
  </property>
  <property fmtid="{D5CDD505-2E9C-101B-9397-08002B2CF9AE}" pid="5" name="MSIP_Label_034a106e-6316-442c-ad35-738afd673d2b_Method">
    <vt:lpwstr>Privileged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f918dc9d-12e1-41f6-99af-1da6ca553975</vt:lpwstr>
  </property>
  <property fmtid="{D5CDD505-2E9C-101B-9397-08002B2CF9AE}" pid="9" name="MSIP_Label_034a106e-6316-442c-ad35-738afd673d2b_ContentBits">
    <vt:lpwstr>0</vt:lpwstr>
  </property>
</Properties>
</file>