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E0BA3" w14:textId="12CF7325" w:rsidR="00C17DC9" w:rsidRDefault="00801619" w:rsidP="00994D08">
      <w:pPr>
        <w:pStyle w:val="Title"/>
        <w:spacing w:before="1560" w:after="2280"/>
        <w:contextualSpacing w:val="0"/>
        <w:jc w:val="both"/>
        <w:rPr>
          <w:rFonts w:ascii="Raleway" w:hAnsi="Raleway"/>
          <w:b/>
          <w:bCs/>
          <w:color w:val="auto"/>
        </w:rPr>
      </w:pPr>
      <w:bookmarkStart w:id="0" w:name="_Hlk118296539"/>
      <w:bookmarkStart w:id="1" w:name="_Hlk19259764"/>
      <w:r>
        <w:rPr>
          <w:rFonts w:ascii="Raleway" w:hAnsi="Raleway"/>
          <w:b/>
          <w:bCs/>
          <w:color w:val="auto"/>
        </w:rPr>
        <w:t xml:space="preserve">  </w:t>
      </w:r>
    </w:p>
    <w:p w14:paraId="3F1E4D3E" w14:textId="7CB8C1C1" w:rsidR="00BB3524" w:rsidRPr="000202DB" w:rsidRDefault="42E108D0" w:rsidP="00264B5C">
      <w:pPr>
        <w:pStyle w:val="Title"/>
        <w:spacing w:before="1560" w:after="2280"/>
        <w:contextualSpacing w:val="0"/>
        <w:rPr>
          <w:rFonts w:ascii="Raleway" w:hAnsi="Raleway"/>
          <w:b/>
          <w:bCs/>
          <w:color w:val="auto"/>
        </w:rPr>
      </w:pPr>
      <w:r w:rsidRPr="000202DB">
        <w:rPr>
          <w:rFonts w:ascii="Raleway" w:hAnsi="Raleway"/>
          <w:b/>
          <w:bCs/>
          <w:color w:val="auto"/>
        </w:rPr>
        <w:t>Building Ontario Businesses</w:t>
      </w:r>
      <w:r w:rsidR="1741A6BD" w:rsidRPr="000202DB">
        <w:rPr>
          <w:rFonts w:ascii="Raleway" w:hAnsi="Raleway"/>
          <w:b/>
          <w:bCs/>
          <w:color w:val="auto"/>
        </w:rPr>
        <w:t xml:space="preserve"> Initiative</w:t>
      </w:r>
      <w:r w:rsidR="27CE08FE" w:rsidRPr="000202DB">
        <w:rPr>
          <w:rFonts w:ascii="Raleway" w:hAnsi="Raleway"/>
          <w:b/>
          <w:bCs/>
          <w:color w:val="auto"/>
        </w:rPr>
        <w:t xml:space="preserve"> – A Guide for Buyers</w:t>
      </w:r>
    </w:p>
    <w:bookmarkEnd w:id="0"/>
    <w:p w14:paraId="7BA3419A" w14:textId="4317C32E" w:rsidR="00BB3524" w:rsidRPr="000202DB" w:rsidRDefault="00BB3524" w:rsidP="00264B5C">
      <w:pPr>
        <w:spacing w:before="360"/>
        <w:rPr>
          <w:rFonts w:cs="Arial"/>
          <w:b/>
          <w:sz w:val="28"/>
        </w:rPr>
      </w:pPr>
      <w:r w:rsidRPr="000202DB">
        <w:rPr>
          <w:rFonts w:cs="Arial"/>
          <w:b/>
          <w:sz w:val="28"/>
        </w:rPr>
        <w:t>Developed by:</w:t>
      </w:r>
    </w:p>
    <w:p w14:paraId="2624C0EF" w14:textId="7770669B" w:rsidR="00A35D0C" w:rsidRPr="000202DB" w:rsidRDefault="00560073" w:rsidP="00264B5C">
      <w:pPr>
        <w:spacing w:before="0" w:after="0" w:line="240" w:lineRule="auto"/>
        <w:rPr>
          <w:rFonts w:cs="Arial"/>
          <w:sz w:val="28"/>
        </w:rPr>
      </w:pPr>
      <w:r w:rsidRPr="00560073">
        <w:rPr>
          <w:rFonts w:cs="Arial"/>
          <w:sz w:val="28"/>
        </w:rPr>
        <w:t>Ministry of Public and Business Service Delivery and Procurement</w:t>
      </w:r>
      <w:r>
        <w:rPr>
          <w:noProof/>
          <w:kern w:val="2"/>
        </w:rPr>
        <w:t xml:space="preserve">  </w:t>
      </w:r>
    </w:p>
    <w:p w14:paraId="4F83B13C" w14:textId="3B31EC2C" w:rsidR="002B431E" w:rsidRDefault="00BB3524" w:rsidP="00264B5C">
      <w:pPr>
        <w:spacing w:before="720" w:after="0" w:line="240" w:lineRule="auto"/>
        <w:rPr>
          <w:rFonts w:cs="Arial"/>
          <w:sz w:val="28"/>
          <w:szCs w:val="28"/>
        </w:rPr>
      </w:pPr>
      <w:bookmarkStart w:id="2" w:name="_Hlk118201475"/>
      <w:r w:rsidRPr="00D5739E">
        <w:rPr>
          <w:rFonts w:cs="Arial"/>
          <w:b/>
          <w:bCs/>
          <w:sz w:val="28"/>
          <w:szCs w:val="28"/>
        </w:rPr>
        <w:t xml:space="preserve">Version </w:t>
      </w:r>
      <w:r w:rsidR="00A35D0C" w:rsidRPr="00D5739E">
        <w:rPr>
          <w:rFonts w:cs="Arial"/>
          <w:b/>
          <w:bCs/>
          <w:sz w:val="28"/>
          <w:szCs w:val="28"/>
        </w:rPr>
        <w:t>Date</w:t>
      </w:r>
      <w:r w:rsidRPr="00D5739E">
        <w:rPr>
          <w:rFonts w:cs="Arial"/>
          <w:b/>
          <w:bCs/>
          <w:sz w:val="28"/>
          <w:szCs w:val="28"/>
        </w:rPr>
        <w:t>:</w:t>
      </w:r>
      <w:r w:rsidRPr="000202DB">
        <w:rPr>
          <w:rFonts w:cs="Arial"/>
          <w:sz w:val="28"/>
          <w:szCs w:val="28"/>
        </w:rPr>
        <w:t xml:space="preserve"> </w:t>
      </w:r>
      <w:r w:rsidR="004813DB">
        <w:rPr>
          <w:rFonts w:cs="Arial"/>
          <w:sz w:val="28"/>
          <w:szCs w:val="28"/>
        </w:rPr>
        <w:t>September</w:t>
      </w:r>
      <w:r w:rsidR="00DA7467">
        <w:rPr>
          <w:rFonts w:cs="Arial"/>
          <w:sz w:val="28"/>
          <w:szCs w:val="28"/>
        </w:rPr>
        <w:t xml:space="preserve"> </w:t>
      </w:r>
      <w:r w:rsidR="00B17668">
        <w:rPr>
          <w:rFonts w:cs="Arial"/>
          <w:sz w:val="28"/>
          <w:szCs w:val="28"/>
        </w:rPr>
        <w:t>2024</w:t>
      </w:r>
    </w:p>
    <w:p w14:paraId="33FC03FF" w14:textId="77777777" w:rsidR="00EB3F4D" w:rsidRPr="000202DB" w:rsidRDefault="00EB3F4D" w:rsidP="00264B5C">
      <w:pPr>
        <w:spacing w:before="720" w:after="0" w:line="240" w:lineRule="auto"/>
        <w:rPr>
          <w:rFonts w:cs="Arial"/>
          <w:sz w:val="28"/>
          <w:szCs w:val="28"/>
        </w:rPr>
      </w:pPr>
    </w:p>
    <w:bookmarkEnd w:id="1" w:displacedByCustomXml="next"/>
    <w:bookmarkEnd w:id="2" w:displacedByCustomXml="next"/>
    <w:sdt>
      <w:sdtPr>
        <w:rPr>
          <w:caps/>
          <w:smallCaps/>
        </w:rPr>
        <w:id w:val="434796800"/>
        <w:docPartObj>
          <w:docPartGallery w:val="Table of Contents"/>
          <w:docPartUnique/>
        </w:docPartObj>
      </w:sdtPr>
      <w:sdtEndPr>
        <w:rPr>
          <w:b/>
          <w:bCs/>
          <w:caps w:val="0"/>
          <w:smallCaps w:val="0"/>
          <w:noProof/>
        </w:rPr>
      </w:sdtEndPr>
      <w:sdtContent>
        <w:p w14:paraId="58D4AC2A" w14:textId="77777777" w:rsidR="000B2318" w:rsidRDefault="00F76611" w:rsidP="009D798B">
          <w:pPr>
            <w:spacing w:before="0" w:line="259" w:lineRule="auto"/>
            <w:jc w:val="center"/>
            <w:rPr>
              <w:noProof/>
            </w:rPr>
          </w:pPr>
          <w:r w:rsidRPr="000202DB">
            <w:rPr>
              <w:b/>
              <w:bCs/>
              <w:u w:val="single"/>
            </w:rPr>
            <w:t>Table of Contents</w:t>
          </w:r>
          <w:r w:rsidR="009D798B">
            <w:fldChar w:fldCharType="begin"/>
          </w:r>
          <w:r w:rsidR="009D798B">
            <w:instrText xml:space="preserve"> TOC \o "1-2" \h \z \u </w:instrText>
          </w:r>
          <w:r w:rsidR="009D798B">
            <w:fldChar w:fldCharType="separate"/>
          </w:r>
        </w:p>
        <w:p w14:paraId="71DDAFB5" w14:textId="5236AD8B" w:rsidR="000B2318" w:rsidRDefault="00312A9E">
          <w:pPr>
            <w:pStyle w:val="TOC1"/>
            <w:rPr>
              <w:rFonts w:asciiTheme="minorHAnsi" w:hAnsiTheme="minorHAnsi"/>
              <w:noProof/>
              <w:kern w:val="2"/>
              <w:sz w:val="22"/>
              <w:lang w:val="en-US"/>
              <w14:ligatures w14:val="standardContextual"/>
            </w:rPr>
          </w:pPr>
          <w:hyperlink w:anchor="_Toc174975039" w:history="1">
            <w:r w:rsidR="000B2318" w:rsidRPr="00F26963">
              <w:rPr>
                <w:rStyle w:val="Hyperlink"/>
                <w:noProof/>
              </w:rPr>
              <w:t>1.</w:t>
            </w:r>
            <w:r w:rsidR="000B2318">
              <w:rPr>
                <w:rFonts w:asciiTheme="minorHAnsi" w:hAnsiTheme="minorHAnsi"/>
                <w:noProof/>
                <w:kern w:val="2"/>
                <w:sz w:val="22"/>
                <w:lang w:val="en-US"/>
                <w14:ligatures w14:val="standardContextual"/>
              </w:rPr>
              <w:tab/>
            </w:r>
            <w:r w:rsidR="000B2318" w:rsidRPr="00F26963">
              <w:rPr>
                <w:rStyle w:val="Hyperlink"/>
                <w:noProof/>
              </w:rPr>
              <w:t>Purpose</w:t>
            </w:r>
            <w:r w:rsidR="000B2318">
              <w:rPr>
                <w:noProof/>
                <w:webHidden/>
              </w:rPr>
              <w:tab/>
            </w:r>
            <w:r w:rsidR="000B2318">
              <w:rPr>
                <w:noProof/>
                <w:webHidden/>
              </w:rPr>
              <w:fldChar w:fldCharType="begin"/>
            </w:r>
            <w:r w:rsidR="000B2318">
              <w:rPr>
                <w:noProof/>
                <w:webHidden/>
              </w:rPr>
              <w:instrText xml:space="preserve"> PAGEREF _Toc174975039 \h </w:instrText>
            </w:r>
            <w:r w:rsidR="000B2318">
              <w:rPr>
                <w:noProof/>
                <w:webHidden/>
              </w:rPr>
            </w:r>
            <w:r w:rsidR="000B2318">
              <w:rPr>
                <w:noProof/>
                <w:webHidden/>
              </w:rPr>
              <w:fldChar w:fldCharType="separate"/>
            </w:r>
            <w:r w:rsidR="000B2318">
              <w:rPr>
                <w:noProof/>
                <w:webHidden/>
              </w:rPr>
              <w:t>5</w:t>
            </w:r>
            <w:r w:rsidR="000B2318">
              <w:rPr>
                <w:noProof/>
                <w:webHidden/>
              </w:rPr>
              <w:fldChar w:fldCharType="end"/>
            </w:r>
          </w:hyperlink>
        </w:p>
        <w:p w14:paraId="60AA9489" w14:textId="793E8D68" w:rsidR="000B2318" w:rsidRDefault="00312A9E">
          <w:pPr>
            <w:pStyle w:val="TOC1"/>
            <w:rPr>
              <w:rFonts w:asciiTheme="minorHAnsi" w:hAnsiTheme="minorHAnsi"/>
              <w:noProof/>
              <w:kern w:val="2"/>
              <w:sz w:val="22"/>
              <w:lang w:val="en-US"/>
              <w14:ligatures w14:val="standardContextual"/>
            </w:rPr>
          </w:pPr>
          <w:hyperlink w:anchor="_Toc174975040" w:history="1">
            <w:r w:rsidR="000B2318" w:rsidRPr="00F26963">
              <w:rPr>
                <w:rStyle w:val="Hyperlink"/>
                <w:noProof/>
              </w:rPr>
              <w:t>2.</w:t>
            </w:r>
            <w:r w:rsidR="000B2318">
              <w:rPr>
                <w:rFonts w:asciiTheme="minorHAnsi" w:hAnsiTheme="minorHAnsi"/>
                <w:noProof/>
                <w:kern w:val="2"/>
                <w:sz w:val="22"/>
                <w:lang w:val="en-US"/>
                <w14:ligatures w14:val="standardContextual"/>
              </w:rPr>
              <w:tab/>
            </w:r>
            <w:r w:rsidR="000B2318" w:rsidRPr="00F26963">
              <w:rPr>
                <w:rStyle w:val="Hyperlink"/>
                <w:noProof/>
              </w:rPr>
              <w:t>Application and Scope</w:t>
            </w:r>
            <w:r w:rsidR="000B2318">
              <w:rPr>
                <w:noProof/>
                <w:webHidden/>
              </w:rPr>
              <w:tab/>
            </w:r>
            <w:r w:rsidR="000B2318">
              <w:rPr>
                <w:noProof/>
                <w:webHidden/>
              </w:rPr>
              <w:fldChar w:fldCharType="begin"/>
            </w:r>
            <w:r w:rsidR="000B2318">
              <w:rPr>
                <w:noProof/>
                <w:webHidden/>
              </w:rPr>
              <w:instrText xml:space="preserve"> PAGEREF _Toc174975040 \h </w:instrText>
            </w:r>
            <w:r w:rsidR="000B2318">
              <w:rPr>
                <w:noProof/>
                <w:webHidden/>
              </w:rPr>
            </w:r>
            <w:r w:rsidR="000B2318">
              <w:rPr>
                <w:noProof/>
                <w:webHidden/>
              </w:rPr>
              <w:fldChar w:fldCharType="separate"/>
            </w:r>
            <w:r w:rsidR="000B2318">
              <w:rPr>
                <w:noProof/>
                <w:webHidden/>
              </w:rPr>
              <w:t>5</w:t>
            </w:r>
            <w:r w:rsidR="000B2318">
              <w:rPr>
                <w:noProof/>
                <w:webHidden/>
              </w:rPr>
              <w:fldChar w:fldCharType="end"/>
            </w:r>
          </w:hyperlink>
        </w:p>
        <w:p w14:paraId="0B112743" w14:textId="2F83BB7F" w:rsidR="000B2318" w:rsidRDefault="00312A9E">
          <w:pPr>
            <w:pStyle w:val="TOC2"/>
            <w:rPr>
              <w:rFonts w:asciiTheme="minorHAnsi" w:hAnsiTheme="minorHAnsi"/>
              <w:noProof/>
              <w:kern w:val="2"/>
              <w:sz w:val="22"/>
              <w:lang w:val="en-US"/>
              <w14:ligatures w14:val="standardContextual"/>
            </w:rPr>
          </w:pPr>
          <w:hyperlink w:anchor="_Toc174975041" w:history="1">
            <w:r w:rsidR="000B2318" w:rsidRPr="00F26963">
              <w:rPr>
                <w:rStyle w:val="Hyperlink"/>
                <w:noProof/>
                <w:lang w:eastAsia="en-CA"/>
              </w:rPr>
              <w:t>The BOBI requirements apply to:</w:t>
            </w:r>
            <w:r w:rsidR="000B2318">
              <w:rPr>
                <w:noProof/>
                <w:webHidden/>
              </w:rPr>
              <w:tab/>
            </w:r>
            <w:r w:rsidR="000B2318">
              <w:rPr>
                <w:noProof/>
                <w:webHidden/>
              </w:rPr>
              <w:fldChar w:fldCharType="begin"/>
            </w:r>
            <w:r w:rsidR="000B2318">
              <w:rPr>
                <w:noProof/>
                <w:webHidden/>
              </w:rPr>
              <w:instrText xml:space="preserve"> PAGEREF _Toc174975041 \h </w:instrText>
            </w:r>
            <w:r w:rsidR="000B2318">
              <w:rPr>
                <w:noProof/>
                <w:webHidden/>
              </w:rPr>
            </w:r>
            <w:r w:rsidR="000B2318">
              <w:rPr>
                <w:noProof/>
                <w:webHidden/>
              </w:rPr>
              <w:fldChar w:fldCharType="separate"/>
            </w:r>
            <w:r w:rsidR="000B2318">
              <w:rPr>
                <w:noProof/>
                <w:webHidden/>
              </w:rPr>
              <w:t>5</w:t>
            </w:r>
            <w:r w:rsidR="000B2318">
              <w:rPr>
                <w:noProof/>
                <w:webHidden/>
              </w:rPr>
              <w:fldChar w:fldCharType="end"/>
            </w:r>
          </w:hyperlink>
        </w:p>
        <w:p w14:paraId="2C1BE080" w14:textId="1866C018" w:rsidR="000B2318" w:rsidRDefault="00312A9E">
          <w:pPr>
            <w:pStyle w:val="TOC2"/>
            <w:rPr>
              <w:rFonts w:asciiTheme="minorHAnsi" w:hAnsiTheme="minorHAnsi"/>
              <w:noProof/>
              <w:kern w:val="2"/>
              <w:sz w:val="22"/>
              <w:lang w:val="en-US"/>
              <w14:ligatures w14:val="standardContextual"/>
            </w:rPr>
          </w:pPr>
          <w:hyperlink w:anchor="_Toc174975042" w:history="1">
            <w:r w:rsidR="000B2318" w:rsidRPr="00F26963">
              <w:rPr>
                <w:rStyle w:val="Hyperlink"/>
                <w:noProof/>
                <w:lang w:eastAsia="en-CA"/>
              </w:rPr>
              <w:t>What is in scope?</w:t>
            </w:r>
            <w:r w:rsidR="000B2318">
              <w:rPr>
                <w:noProof/>
                <w:webHidden/>
              </w:rPr>
              <w:tab/>
            </w:r>
            <w:r w:rsidR="000B2318">
              <w:rPr>
                <w:noProof/>
                <w:webHidden/>
              </w:rPr>
              <w:fldChar w:fldCharType="begin"/>
            </w:r>
            <w:r w:rsidR="000B2318">
              <w:rPr>
                <w:noProof/>
                <w:webHidden/>
              </w:rPr>
              <w:instrText xml:space="preserve"> PAGEREF _Toc174975042 \h </w:instrText>
            </w:r>
            <w:r w:rsidR="000B2318">
              <w:rPr>
                <w:noProof/>
                <w:webHidden/>
              </w:rPr>
            </w:r>
            <w:r w:rsidR="000B2318">
              <w:rPr>
                <w:noProof/>
                <w:webHidden/>
              </w:rPr>
              <w:fldChar w:fldCharType="separate"/>
            </w:r>
            <w:r w:rsidR="000B2318">
              <w:rPr>
                <w:noProof/>
                <w:webHidden/>
              </w:rPr>
              <w:t>6</w:t>
            </w:r>
            <w:r w:rsidR="000B2318">
              <w:rPr>
                <w:noProof/>
                <w:webHidden/>
              </w:rPr>
              <w:fldChar w:fldCharType="end"/>
            </w:r>
          </w:hyperlink>
        </w:p>
        <w:p w14:paraId="448059F4" w14:textId="305CB535" w:rsidR="000B2318" w:rsidRDefault="00312A9E">
          <w:pPr>
            <w:pStyle w:val="TOC1"/>
            <w:rPr>
              <w:rFonts w:asciiTheme="minorHAnsi" w:hAnsiTheme="minorHAnsi"/>
              <w:noProof/>
              <w:kern w:val="2"/>
              <w:sz w:val="22"/>
              <w:lang w:val="en-US"/>
              <w14:ligatures w14:val="standardContextual"/>
            </w:rPr>
          </w:pPr>
          <w:hyperlink w:anchor="_Toc174975043" w:history="1">
            <w:r w:rsidR="000B2318" w:rsidRPr="00F26963">
              <w:rPr>
                <w:rStyle w:val="Hyperlink"/>
                <w:noProof/>
              </w:rPr>
              <w:t>3.</w:t>
            </w:r>
            <w:r w:rsidR="000B2318">
              <w:rPr>
                <w:rFonts w:asciiTheme="minorHAnsi" w:hAnsiTheme="minorHAnsi"/>
                <w:noProof/>
                <w:kern w:val="2"/>
                <w:sz w:val="22"/>
                <w:lang w:val="en-US"/>
                <w14:ligatures w14:val="standardContextual"/>
              </w:rPr>
              <w:tab/>
            </w:r>
            <w:r w:rsidR="000B2318" w:rsidRPr="00F26963">
              <w:rPr>
                <w:rStyle w:val="Hyperlink"/>
                <w:noProof/>
              </w:rPr>
              <w:t>Key Definitions</w:t>
            </w:r>
            <w:r w:rsidR="000B2318">
              <w:rPr>
                <w:noProof/>
                <w:webHidden/>
              </w:rPr>
              <w:tab/>
            </w:r>
            <w:r w:rsidR="000B2318">
              <w:rPr>
                <w:noProof/>
                <w:webHidden/>
              </w:rPr>
              <w:fldChar w:fldCharType="begin"/>
            </w:r>
            <w:r w:rsidR="000B2318">
              <w:rPr>
                <w:noProof/>
                <w:webHidden/>
              </w:rPr>
              <w:instrText xml:space="preserve"> PAGEREF _Toc174975043 \h </w:instrText>
            </w:r>
            <w:r w:rsidR="000B2318">
              <w:rPr>
                <w:noProof/>
                <w:webHidden/>
              </w:rPr>
            </w:r>
            <w:r w:rsidR="000B2318">
              <w:rPr>
                <w:noProof/>
                <w:webHidden/>
              </w:rPr>
              <w:fldChar w:fldCharType="separate"/>
            </w:r>
            <w:r w:rsidR="000B2318">
              <w:rPr>
                <w:noProof/>
                <w:webHidden/>
              </w:rPr>
              <w:t>6</w:t>
            </w:r>
            <w:r w:rsidR="000B2318">
              <w:rPr>
                <w:noProof/>
                <w:webHidden/>
              </w:rPr>
              <w:fldChar w:fldCharType="end"/>
            </w:r>
          </w:hyperlink>
        </w:p>
        <w:p w14:paraId="0B07BC1D" w14:textId="04444610" w:rsidR="000B2318" w:rsidRDefault="00312A9E">
          <w:pPr>
            <w:pStyle w:val="TOC1"/>
            <w:rPr>
              <w:rFonts w:asciiTheme="minorHAnsi" w:hAnsiTheme="minorHAnsi"/>
              <w:noProof/>
              <w:kern w:val="2"/>
              <w:sz w:val="22"/>
              <w:lang w:val="en-US"/>
              <w14:ligatures w14:val="standardContextual"/>
            </w:rPr>
          </w:pPr>
          <w:hyperlink w:anchor="_Toc174975044" w:history="1">
            <w:r w:rsidR="000B2318" w:rsidRPr="00F26963">
              <w:rPr>
                <w:rStyle w:val="Hyperlink"/>
                <w:noProof/>
              </w:rPr>
              <w:t>4.</w:t>
            </w:r>
            <w:r w:rsidR="000B2318">
              <w:rPr>
                <w:rFonts w:asciiTheme="minorHAnsi" w:hAnsiTheme="minorHAnsi"/>
                <w:noProof/>
                <w:kern w:val="2"/>
                <w:sz w:val="22"/>
                <w:lang w:val="en-US"/>
                <w14:ligatures w14:val="standardContextual"/>
              </w:rPr>
              <w:tab/>
            </w:r>
            <w:r w:rsidR="000B2318" w:rsidRPr="00F26963">
              <w:rPr>
                <w:rStyle w:val="Hyperlink"/>
                <w:noProof/>
              </w:rPr>
              <w:t>The Approaches and Strategies</w:t>
            </w:r>
            <w:r w:rsidR="000B2318">
              <w:rPr>
                <w:noProof/>
                <w:webHidden/>
              </w:rPr>
              <w:tab/>
            </w:r>
            <w:r w:rsidR="000B2318">
              <w:rPr>
                <w:noProof/>
                <w:webHidden/>
              </w:rPr>
              <w:fldChar w:fldCharType="begin"/>
            </w:r>
            <w:r w:rsidR="000B2318">
              <w:rPr>
                <w:noProof/>
                <w:webHidden/>
              </w:rPr>
              <w:instrText xml:space="preserve"> PAGEREF _Toc174975044 \h </w:instrText>
            </w:r>
            <w:r w:rsidR="000B2318">
              <w:rPr>
                <w:noProof/>
                <w:webHidden/>
              </w:rPr>
            </w:r>
            <w:r w:rsidR="000B2318">
              <w:rPr>
                <w:noProof/>
                <w:webHidden/>
              </w:rPr>
              <w:fldChar w:fldCharType="separate"/>
            </w:r>
            <w:r w:rsidR="000B2318">
              <w:rPr>
                <w:noProof/>
                <w:webHidden/>
              </w:rPr>
              <w:t>7</w:t>
            </w:r>
            <w:r w:rsidR="000B2318">
              <w:rPr>
                <w:noProof/>
                <w:webHidden/>
              </w:rPr>
              <w:fldChar w:fldCharType="end"/>
            </w:r>
          </w:hyperlink>
        </w:p>
        <w:p w14:paraId="42C8492D" w14:textId="734A888A" w:rsidR="000B2318" w:rsidRDefault="00312A9E">
          <w:pPr>
            <w:pStyle w:val="TOC2"/>
            <w:rPr>
              <w:rFonts w:asciiTheme="minorHAnsi" w:hAnsiTheme="minorHAnsi"/>
              <w:noProof/>
              <w:kern w:val="2"/>
              <w:sz w:val="22"/>
              <w:lang w:val="en-US"/>
              <w14:ligatures w14:val="standardContextual"/>
            </w:rPr>
          </w:pPr>
          <w:hyperlink w:anchor="_Toc174975045" w:history="1">
            <w:r w:rsidR="000B2318" w:rsidRPr="00F26963">
              <w:rPr>
                <w:rStyle w:val="Hyperlink"/>
                <w:noProof/>
              </w:rPr>
              <w:t>Invitational Procurement Process</w:t>
            </w:r>
            <w:r w:rsidR="000B2318">
              <w:rPr>
                <w:noProof/>
                <w:webHidden/>
              </w:rPr>
              <w:tab/>
            </w:r>
            <w:r w:rsidR="000B2318">
              <w:rPr>
                <w:noProof/>
                <w:webHidden/>
              </w:rPr>
              <w:fldChar w:fldCharType="begin"/>
            </w:r>
            <w:r w:rsidR="000B2318">
              <w:rPr>
                <w:noProof/>
                <w:webHidden/>
              </w:rPr>
              <w:instrText xml:space="preserve"> PAGEREF _Toc174975045 \h </w:instrText>
            </w:r>
            <w:r w:rsidR="000B2318">
              <w:rPr>
                <w:noProof/>
                <w:webHidden/>
              </w:rPr>
            </w:r>
            <w:r w:rsidR="000B2318">
              <w:rPr>
                <w:noProof/>
                <w:webHidden/>
              </w:rPr>
              <w:fldChar w:fldCharType="separate"/>
            </w:r>
            <w:r w:rsidR="000B2318">
              <w:rPr>
                <w:noProof/>
                <w:webHidden/>
              </w:rPr>
              <w:t>7</w:t>
            </w:r>
            <w:r w:rsidR="000B2318">
              <w:rPr>
                <w:noProof/>
                <w:webHidden/>
              </w:rPr>
              <w:fldChar w:fldCharType="end"/>
            </w:r>
          </w:hyperlink>
        </w:p>
        <w:p w14:paraId="18AC165F" w14:textId="77E95226" w:rsidR="000B2318" w:rsidRDefault="00312A9E">
          <w:pPr>
            <w:pStyle w:val="TOC2"/>
            <w:rPr>
              <w:rFonts w:asciiTheme="minorHAnsi" w:hAnsiTheme="minorHAnsi"/>
              <w:noProof/>
              <w:kern w:val="2"/>
              <w:sz w:val="22"/>
              <w:lang w:val="en-US"/>
              <w14:ligatures w14:val="standardContextual"/>
            </w:rPr>
          </w:pPr>
          <w:hyperlink w:anchor="_Toc174975046" w:history="1">
            <w:r w:rsidR="000B2318" w:rsidRPr="00F26963">
              <w:rPr>
                <w:rStyle w:val="Hyperlink"/>
                <w:noProof/>
              </w:rPr>
              <w:t>Open-Competitive Procurement Process</w:t>
            </w:r>
            <w:r w:rsidR="000B2318">
              <w:rPr>
                <w:noProof/>
                <w:webHidden/>
              </w:rPr>
              <w:tab/>
            </w:r>
            <w:r w:rsidR="000B2318">
              <w:rPr>
                <w:noProof/>
                <w:webHidden/>
              </w:rPr>
              <w:fldChar w:fldCharType="begin"/>
            </w:r>
            <w:r w:rsidR="000B2318">
              <w:rPr>
                <w:noProof/>
                <w:webHidden/>
              </w:rPr>
              <w:instrText xml:space="preserve"> PAGEREF _Toc174975046 \h </w:instrText>
            </w:r>
            <w:r w:rsidR="000B2318">
              <w:rPr>
                <w:noProof/>
                <w:webHidden/>
              </w:rPr>
            </w:r>
            <w:r w:rsidR="000B2318">
              <w:rPr>
                <w:noProof/>
                <w:webHidden/>
              </w:rPr>
              <w:fldChar w:fldCharType="separate"/>
            </w:r>
            <w:r w:rsidR="000B2318">
              <w:rPr>
                <w:noProof/>
                <w:webHidden/>
              </w:rPr>
              <w:t>8</w:t>
            </w:r>
            <w:r w:rsidR="000B2318">
              <w:rPr>
                <w:noProof/>
                <w:webHidden/>
              </w:rPr>
              <w:fldChar w:fldCharType="end"/>
            </w:r>
          </w:hyperlink>
        </w:p>
        <w:p w14:paraId="1CE2F7E1" w14:textId="66BD07DE" w:rsidR="000B2318" w:rsidRDefault="00312A9E">
          <w:pPr>
            <w:pStyle w:val="TOC2"/>
            <w:rPr>
              <w:rFonts w:asciiTheme="minorHAnsi" w:hAnsiTheme="minorHAnsi"/>
              <w:noProof/>
              <w:kern w:val="2"/>
              <w:sz w:val="22"/>
              <w:lang w:val="en-US"/>
              <w14:ligatures w14:val="standardContextual"/>
            </w:rPr>
          </w:pPr>
          <w:hyperlink w:anchor="_Toc174975047" w:history="1">
            <w:r w:rsidR="000B2318" w:rsidRPr="00F26963">
              <w:rPr>
                <w:rStyle w:val="Hyperlink"/>
                <w:noProof/>
              </w:rPr>
              <w:t>Non-Competitive Procurement Process</w:t>
            </w:r>
            <w:r w:rsidR="000B2318">
              <w:rPr>
                <w:noProof/>
                <w:webHidden/>
              </w:rPr>
              <w:tab/>
            </w:r>
            <w:r w:rsidR="000B2318">
              <w:rPr>
                <w:noProof/>
                <w:webHidden/>
              </w:rPr>
              <w:fldChar w:fldCharType="begin"/>
            </w:r>
            <w:r w:rsidR="000B2318">
              <w:rPr>
                <w:noProof/>
                <w:webHidden/>
              </w:rPr>
              <w:instrText xml:space="preserve"> PAGEREF _Toc174975047 \h </w:instrText>
            </w:r>
            <w:r w:rsidR="000B2318">
              <w:rPr>
                <w:noProof/>
                <w:webHidden/>
              </w:rPr>
            </w:r>
            <w:r w:rsidR="000B2318">
              <w:rPr>
                <w:noProof/>
                <w:webHidden/>
              </w:rPr>
              <w:fldChar w:fldCharType="separate"/>
            </w:r>
            <w:r w:rsidR="000B2318">
              <w:rPr>
                <w:noProof/>
                <w:webHidden/>
              </w:rPr>
              <w:t>9</w:t>
            </w:r>
            <w:r w:rsidR="000B2318">
              <w:rPr>
                <w:noProof/>
                <w:webHidden/>
              </w:rPr>
              <w:fldChar w:fldCharType="end"/>
            </w:r>
          </w:hyperlink>
        </w:p>
        <w:p w14:paraId="4A4C4383" w14:textId="4C2035CD" w:rsidR="000B2318" w:rsidRDefault="00312A9E">
          <w:pPr>
            <w:pStyle w:val="TOC1"/>
            <w:rPr>
              <w:rFonts w:asciiTheme="minorHAnsi" w:hAnsiTheme="minorHAnsi"/>
              <w:noProof/>
              <w:kern w:val="2"/>
              <w:sz w:val="22"/>
              <w:lang w:val="en-US"/>
              <w14:ligatures w14:val="standardContextual"/>
            </w:rPr>
          </w:pPr>
          <w:hyperlink w:anchor="_Toc174975048" w:history="1">
            <w:r w:rsidR="000B2318" w:rsidRPr="00F26963">
              <w:rPr>
                <w:rStyle w:val="Hyperlink"/>
                <w:noProof/>
              </w:rPr>
              <w:t>5.</w:t>
            </w:r>
            <w:r w:rsidR="000B2318">
              <w:rPr>
                <w:rFonts w:asciiTheme="minorHAnsi" w:hAnsiTheme="minorHAnsi"/>
                <w:noProof/>
                <w:kern w:val="2"/>
                <w:sz w:val="22"/>
                <w:lang w:val="en-US"/>
                <w14:ligatures w14:val="standardContextual"/>
              </w:rPr>
              <w:tab/>
            </w:r>
            <w:r w:rsidR="000B2318" w:rsidRPr="00F26963">
              <w:rPr>
                <w:rStyle w:val="Hyperlink"/>
                <w:noProof/>
              </w:rPr>
              <w:t>Approach 1: Procurement Opportunities BELOW Domestic trade agreement thresholds</w:t>
            </w:r>
            <w:r w:rsidR="000B2318">
              <w:rPr>
                <w:noProof/>
                <w:webHidden/>
              </w:rPr>
              <w:tab/>
            </w:r>
            <w:r w:rsidR="000B2318">
              <w:rPr>
                <w:noProof/>
                <w:webHidden/>
              </w:rPr>
              <w:fldChar w:fldCharType="begin"/>
            </w:r>
            <w:r w:rsidR="000B2318">
              <w:rPr>
                <w:noProof/>
                <w:webHidden/>
              </w:rPr>
              <w:instrText xml:space="preserve"> PAGEREF _Toc174975048 \h </w:instrText>
            </w:r>
            <w:r w:rsidR="000B2318">
              <w:rPr>
                <w:noProof/>
                <w:webHidden/>
              </w:rPr>
            </w:r>
            <w:r w:rsidR="000B2318">
              <w:rPr>
                <w:noProof/>
                <w:webHidden/>
              </w:rPr>
              <w:fldChar w:fldCharType="separate"/>
            </w:r>
            <w:r w:rsidR="000B2318">
              <w:rPr>
                <w:noProof/>
                <w:webHidden/>
              </w:rPr>
              <w:t>10</w:t>
            </w:r>
            <w:r w:rsidR="000B2318">
              <w:rPr>
                <w:noProof/>
                <w:webHidden/>
              </w:rPr>
              <w:fldChar w:fldCharType="end"/>
            </w:r>
          </w:hyperlink>
        </w:p>
        <w:p w14:paraId="6AC6CB15" w14:textId="46EAE98D" w:rsidR="000B2318" w:rsidRDefault="00312A9E">
          <w:pPr>
            <w:pStyle w:val="TOC2"/>
            <w:rPr>
              <w:rFonts w:asciiTheme="minorHAnsi" w:hAnsiTheme="minorHAnsi"/>
              <w:noProof/>
              <w:kern w:val="2"/>
              <w:sz w:val="22"/>
              <w:lang w:val="en-US"/>
              <w14:ligatures w14:val="standardContextual"/>
            </w:rPr>
          </w:pPr>
          <w:hyperlink w:anchor="_Toc174975049" w:history="1">
            <w:r w:rsidR="000B2318" w:rsidRPr="00F26963">
              <w:rPr>
                <w:rStyle w:val="Hyperlink"/>
                <w:noProof/>
              </w:rPr>
              <w:t>Strategy 1:  Government entities must give preference to Ontario businesses.</w:t>
            </w:r>
            <w:r w:rsidR="000B2318">
              <w:rPr>
                <w:noProof/>
                <w:webHidden/>
              </w:rPr>
              <w:tab/>
            </w:r>
            <w:r w:rsidR="000B2318">
              <w:rPr>
                <w:noProof/>
                <w:webHidden/>
              </w:rPr>
              <w:fldChar w:fldCharType="begin"/>
            </w:r>
            <w:r w:rsidR="000B2318">
              <w:rPr>
                <w:noProof/>
                <w:webHidden/>
              </w:rPr>
              <w:instrText xml:space="preserve"> PAGEREF _Toc174975049 \h </w:instrText>
            </w:r>
            <w:r w:rsidR="000B2318">
              <w:rPr>
                <w:noProof/>
                <w:webHidden/>
              </w:rPr>
            </w:r>
            <w:r w:rsidR="000B2318">
              <w:rPr>
                <w:noProof/>
                <w:webHidden/>
              </w:rPr>
              <w:fldChar w:fldCharType="separate"/>
            </w:r>
            <w:r w:rsidR="000B2318">
              <w:rPr>
                <w:noProof/>
                <w:webHidden/>
              </w:rPr>
              <w:t>10</w:t>
            </w:r>
            <w:r w:rsidR="000B2318">
              <w:rPr>
                <w:noProof/>
                <w:webHidden/>
              </w:rPr>
              <w:fldChar w:fldCharType="end"/>
            </w:r>
          </w:hyperlink>
        </w:p>
        <w:p w14:paraId="6769E44E" w14:textId="67A212B1" w:rsidR="000B2318" w:rsidRDefault="00312A9E">
          <w:pPr>
            <w:pStyle w:val="TOC1"/>
            <w:rPr>
              <w:rFonts w:asciiTheme="minorHAnsi" w:hAnsiTheme="minorHAnsi"/>
              <w:noProof/>
              <w:kern w:val="2"/>
              <w:sz w:val="22"/>
              <w:lang w:val="en-US"/>
              <w14:ligatures w14:val="standardContextual"/>
            </w:rPr>
          </w:pPr>
          <w:hyperlink w:anchor="_Toc174975050" w:history="1">
            <w:r w:rsidR="000B2318" w:rsidRPr="00F26963">
              <w:rPr>
                <w:rStyle w:val="Hyperlink"/>
                <w:noProof/>
              </w:rPr>
              <w:t>6.</w:t>
            </w:r>
            <w:r w:rsidR="000B2318">
              <w:rPr>
                <w:rFonts w:asciiTheme="minorHAnsi" w:hAnsiTheme="minorHAnsi"/>
                <w:noProof/>
                <w:kern w:val="2"/>
                <w:sz w:val="22"/>
                <w:lang w:val="en-US"/>
                <w14:ligatures w14:val="standardContextual"/>
              </w:rPr>
              <w:tab/>
            </w:r>
            <w:r w:rsidR="000B2318" w:rsidRPr="00F26963">
              <w:rPr>
                <w:rStyle w:val="Hyperlink"/>
                <w:noProof/>
              </w:rPr>
              <w:t>Approach 2: Procurement Opportunities BELOW International Trade Agreement Thresholds (and above domestic trade agreement trade threshold)</w:t>
            </w:r>
            <w:r w:rsidR="000B2318">
              <w:rPr>
                <w:noProof/>
                <w:webHidden/>
              </w:rPr>
              <w:tab/>
            </w:r>
            <w:r w:rsidR="000B2318">
              <w:rPr>
                <w:noProof/>
                <w:webHidden/>
              </w:rPr>
              <w:fldChar w:fldCharType="begin"/>
            </w:r>
            <w:r w:rsidR="000B2318">
              <w:rPr>
                <w:noProof/>
                <w:webHidden/>
              </w:rPr>
              <w:instrText xml:space="preserve"> PAGEREF _Toc174975050 \h </w:instrText>
            </w:r>
            <w:r w:rsidR="000B2318">
              <w:rPr>
                <w:noProof/>
                <w:webHidden/>
              </w:rPr>
            </w:r>
            <w:r w:rsidR="000B2318">
              <w:rPr>
                <w:noProof/>
                <w:webHidden/>
              </w:rPr>
              <w:fldChar w:fldCharType="separate"/>
            </w:r>
            <w:r w:rsidR="000B2318">
              <w:rPr>
                <w:noProof/>
                <w:webHidden/>
              </w:rPr>
              <w:t>14</w:t>
            </w:r>
            <w:r w:rsidR="000B2318">
              <w:rPr>
                <w:noProof/>
                <w:webHidden/>
              </w:rPr>
              <w:fldChar w:fldCharType="end"/>
            </w:r>
          </w:hyperlink>
        </w:p>
        <w:p w14:paraId="646871F4" w14:textId="3DAEAA3F" w:rsidR="000B2318" w:rsidRDefault="00312A9E">
          <w:pPr>
            <w:pStyle w:val="TOC2"/>
            <w:rPr>
              <w:rFonts w:asciiTheme="minorHAnsi" w:hAnsiTheme="minorHAnsi"/>
              <w:noProof/>
              <w:kern w:val="2"/>
              <w:sz w:val="22"/>
              <w:lang w:val="en-US"/>
              <w14:ligatures w14:val="standardContextual"/>
            </w:rPr>
          </w:pPr>
          <w:hyperlink w:anchor="_Toc174975051" w:history="1">
            <w:r w:rsidR="000B2318" w:rsidRPr="00F26963">
              <w:rPr>
                <w:rStyle w:val="Hyperlink"/>
                <w:noProof/>
              </w:rPr>
              <w:t>Strategy 2: Government entities must give preference to Canadian businesses wherever feasible.</w:t>
            </w:r>
            <w:r w:rsidR="000B2318">
              <w:rPr>
                <w:noProof/>
                <w:webHidden/>
              </w:rPr>
              <w:tab/>
            </w:r>
            <w:r w:rsidR="000B2318">
              <w:rPr>
                <w:noProof/>
                <w:webHidden/>
              </w:rPr>
              <w:fldChar w:fldCharType="begin"/>
            </w:r>
            <w:r w:rsidR="000B2318">
              <w:rPr>
                <w:noProof/>
                <w:webHidden/>
              </w:rPr>
              <w:instrText xml:space="preserve"> PAGEREF _Toc174975051 \h </w:instrText>
            </w:r>
            <w:r w:rsidR="000B2318">
              <w:rPr>
                <w:noProof/>
                <w:webHidden/>
              </w:rPr>
            </w:r>
            <w:r w:rsidR="000B2318">
              <w:rPr>
                <w:noProof/>
                <w:webHidden/>
              </w:rPr>
              <w:fldChar w:fldCharType="separate"/>
            </w:r>
            <w:r w:rsidR="000B2318">
              <w:rPr>
                <w:noProof/>
                <w:webHidden/>
              </w:rPr>
              <w:t>14</w:t>
            </w:r>
            <w:r w:rsidR="000B2318">
              <w:rPr>
                <w:noProof/>
                <w:webHidden/>
              </w:rPr>
              <w:fldChar w:fldCharType="end"/>
            </w:r>
          </w:hyperlink>
        </w:p>
        <w:p w14:paraId="15E893E1" w14:textId="54BBE76A" w:rsidR="000B2318" w:rsidRDefault="00312A9E">
          <w:pPr>
            <w:pStyle w:val="TOC1"/>
            <w:rPr>
              <w:rFonts w:asciiTheme="minorHAnsi" w:hAnsiTheme="minorHAnsi"/>
              <w:noProof/>
              <w:kern w:val="2"/>
              <w:sz w:val="22"/>
              <w:lang w:val="en-US"/>
              <w14:ligatures w14:val="standardContextual"/>
            </w:rPr>
          </w:pPr>
          <w:hyperlink w:anchor="_Toc174975052" w:history="1">
            <w:r w:rsidR="000B2318" w:rsidRPr="00F26963">
              <w:rPr>
                <w:rStyle w:val="Hyperlink"/>
                <w:noProof/>
              </w:rPr>
              <w:t>7.</w:t>
            </w:r>
            <w:r w:rsidR="000B2318">
              <w:rPr>
                <w:rFonts w:asciiTheme="minorHAnsi" w:hAnsiTheme="minorHAnsi"/>
                <w:noProof/>
                <w:kern w:val="2"/>
                <w:sz w:val="22"/>
                <w:lang w:val="en-US"/>
                <w14:ligatures w14:val="standardContextual"/>
              </w:rPr>
              <w:tab/>
            </w:r>
            <w:r w:rsidR="000B2318" w:rsidRPr="00F26963">
              <w:rPr>
                <w:rStyle w:val="Hyperlink"/>
                <w:noProof/>
              </w:rPr>
              <w:t>Approach 3: Procurement Opportunities ABOVE International Trade Agreement Thresholds</w:t>
            </w:r>
            <w:r w:rsidR="000B2318">
              <w:rPr>
                <w:noProof/>
                <w:webHidden/>
              </w:rPr>
              <w:tab/>
            </w:r>
            <w:r w:rsidR="000B2318">
              <w:rPr>
                <w:noProof/>
                <w:webHidden/>
              </w:rPr>
              <w:fldChar w:fldCharType="begin"/>
            </w:r>
            <w:r w:rsidR="000B2318">
              <w:rPr>
                <w:noProof/>
                <w:webHidden/>
              </w:rPr>
              <w:instrText xml:space="preserve"> PAGEREF _Toc174975052 \h </w:instrText>
            </w:r>
            <w:r w:rsidR="000B2318">
              <w:rPr>
                <w:noProof/>
                <w:webHidden/>
              </w:rPr>
            </w:r>
            <w:r w:rsidR="000B2318">
              <w:rPr>
                <w:noProof/>
                <w:webHidden/>
              </w:rPr>
              <w:fldChar w:fldCharType="separate"/>
            </w:r>
            <w:r w:rsidR="000B2318">
              <w:rPr>
                <w:noProof/>
                <w:webHidden/>
              </w:rPr>
              <w:t>16</w:t>
            </w:r>
            <w:r w:rsidR="000B2318">
              <w:rPr>
                <w:noProof/>
                <w:webHidden/>
              </w:rPr>
              <w:fldChar w:fldCharType="end"/>
            </w:r>
          </w:hyperlink>
        </w:p>
        <w:p w14:paraId="167DEA58" w14:textId="278DD78C" w:rsidR="000B2318" w:rsidRDefault="00312A9E">
          <w:pPr>
            <w:pStyle w:val="TOC2"/>
            <w:rPr>
              <w:rFonts w:asciiTheme="minorHAnsi" w:hAnsiTheme="minorHAnsi"/>
              <w:noProof/>
              <w:kern w:val="2"/>
              <w:sz w:val="22"/>
              <w:lang w:val="en-US"/>
              <w14:ligatures w14:val="standardContextual"/>
            </w:rPr>
          </w:pPr>
          <w:hyperlink w:anchor="_Toc174975053" w:history="1">
            <w:r w:rsidR="000B2318" w:rsidRPr="00F26963">
              <w:rPr>
                <w:rStyle w:val="Hyperlink"/>
                <w:noProof/>
              </w:rPr>
              <w:t>Strategy 3: Government entities must give preference to businesses of Ontario’s trading partners where feasible.</w:t>
            </w:r>
            <w:r w:rsidR="000B2318">
              <w:rPr>
                <w:noProof/>
                <w:webHidden/>
              </w:rPr>
              <w:tab/>
            </w:r>
            <w:r w:rsidR="000B2318">
              <w:rPr>
                <w:noProof/>
                <w:webHidden/>
              </w:rPr>
              <w:fldChar w:fldCharType="begin"/>
            </w:r>
            <w:r w:rsidR="000B2318">
              <w:rPr>
                <w:noProof/>
                <w:webHidden/>
              </w:rPr>
              <w:instrText xml:space="preserve"> PAGEREF _Toc174975053 \h </w:instrText>
            </w:r>
            <w:r w:rsidR="000B2318">
              <w:rPr>
                <w:noProof/>
                <w:webHidden/>
              </w:rPr>
            </w:r>
            <w:r w:rsidR="000B2318">
              <w:rPr>
                <w:noProof/>
                <w:webHidden/>
              </w:rPr>
              <w:fldChar w:fldCharType="separate"/>
            </w:r>
            <w:r w:rsidR="000B2318">
              <w:rPr>
                <w:noProof/>
                <w:webHidden/>
              </w:rPr>
              <w:t>16</w:t>
            </w:r>
            <w:r w:rsidR="000B2318">
              <w:rPr>
                <w:noProof/>
                <w:webHidden/>
              </w:rPr>
              <w:fldChar w:fldCharType="end"/>
            </w:r>
          </w:hyperlink>
        </w:p>
        <w:p w14:paraId="7793F002" w14:textId="346F6646" w:rsidR="000B2318" w:rsidRDefault="00312A9E">
          <w:pPr>
            <w:pStyle w:val="TOC2"/>
            <w:rPr>
              <w:rFonts w:asciiTheme="minorHAnsi" w:hAnsiTheme="minorHAnsi"/>
              <w:noProof/>
              <w:kern w:val="2"/>
              <w:sz w:val="22"/>
              <w:lang w:val="en-US"/>
              <w14:ligatures w14:val="standardContextual"/>
            </w:rPr>
          </w:pPr>
          <w:hyperlink w:anchor="_Toc174975054" w:history="1">
            <w:r w:rsidR="000B2318" w:rsidRPr="00F26963">
              <w:rPr>
                <w:rStyle w:val="Hyperlink"/>
                <w:noProof/>
              </w:rPr>
              <w:t>Strategy 4: Apply weighted domestic criteria in procurement evaluations.</w:t>
            </w:r>
            <w:r w:rsidR="000B2318">
              <w:rPr>
                <w:noProof/>
                <w:webHidden/>
              </w:rPr>
              <w:tab/>
            </w:r>
            <w:r w:rsidR="000B2318">
              <w:rPr>
                <w:noProof/>
                <w:webHidden/>
              </w:rPr>
              <w:fldChar w:fldCharType="begin"/>
            </w:r>
            <w:r w:rsidR="000B2318">
              <w:rPr>
                <w:noProof/>
                <w:webHidden/>
              </w:rPr>
              <w:instrText xml:space="preserve"> PAGEREF _Toc174975054 \h </w:instrText>
            </w:r>
            <w:r w:rsidR="000B2318">
              <w:rPr>
                <w:noProof/>
                <w:webHidden/>
              </w:rPr>
            </w:r>
            <w:r w:rsidR="000B2318">
              <w:rPr>
                <w:noProof/>
                <w:webHidden/>
              </w:rPr>
              <w:fldChar w:fldCharType="separate"/>
            </w:r>
            <w:r w:rsidR="000B2318">
              <w:rPr>
                <w:noProof/>
                <w:webHidden/>
              </w:rPr>
              <w:t>18</w:t>
            </w:r>
            <w:r w:rsidR="000B2318">
              <w:rPr>
                <w:noProof/>
                <w:webHidden/>
              </w:rPr>
              <w:fldChar w:fldCharType="end"/>
            </w:r>
          </w:hyperlink>
        </w:p>
        <w:p w14:paraId="016B65DB" w14:textId="3EBA264C" w:rsidR="000B2318" w:rsidRDefault="00312A9E">
          <w:pPr>
            <w:pStyle w:val="TOC2"/>
            <w:rPr>
              <w:rFonts w:asciiTheme="minorHAnsi" w:hAnsiTheme="minorHAnsi"/>
              <w:noProof/>
              <w:kern w:val="2"/>
              <w:sz w:val="22"/>
              <w:lang w:val="en-US"/>
              <w14:ligatures w14:val="standardContextual"/>
            </w:rPr>
          </w:pPr>
          <w:hyperlink w:anchor="_Toc174975055" w:history="1">
            <w:r w:rsidR="000B2318" w:rsidRPr="00F26963">
              <w:rPr>
                <w:rStyle w:val="Hyperlink"/>
                <w:noProof/>
              </w:rPr>
              <w:t>Strategy 5: Include an IRTB requirement for procurements with an estimated value of $50 million or more in specified sectors</w:t>
            </w:r>
            <w:r w:rsidR="000B2318">
              <w:rPr>
                <w:noProof/>
                <w:webHidden/>
              </w:rPr>
              <w:tab/>
            </w:r>
            <w:r w:rsidR="000B2318">
              <w:rPr>
                <w:noProof/>
                <w:webHidden/>
              </w:rPr>
              <w:fldChar w:fldCharType="begin"/>
            </w:r>
            <w:r w:rsidR="000B2318">
              <w:rPr>
                <w:noProof/>
                <w:webHidden/>
              </w:rPr>
              <w:instrText xml:space="preserve"> PAGEREF _Toc174975055 \h </w:instrText>
            </w:r>
            <w:r w:rsidR="000B2318">
              <w:rPr>
                <w:noProof/>
                <w:webHidden/>
              </w:rPr>
            </w:r>
            <w:r w:rsidR="000B2318">
              <w:rPr>
                <w:noProof/>
                <w:webHidden/>
              </w:rPr>
              <w:fldChar w:fldCharType="separate"/>
            </w:r>
            <w:r w:rsidR="000B2318">
              <w:rPr>
                <w:noProof/>
                <w:webHidden/>
              </w:rPr>
              <w:t>22</w:t>
            </w:r>
            <w:r w:rsidR="000B2318">
              <w:rPr>
                <w:noProof/>
                <w:webHidden/>
              </w:rPr>
              <w:fldChar w:fldCharType="end"/>
            </w:r>
          </w:hyperlink>
        </w:p>
        <w:p w14:paraId="102F300B" w14:textId="66CF4043" w:rsidR="000B2318" w:rsidRDefault="00312A9E">
          <w:pPr>
            <w:pStyle w:val="TOC1"/>
            <w:rPr>
              <w:rFonts w:asciiTheme="minorHAnsi" w:hAnsiTheme="minorHAnsi"/>
              <w:noProof/>
              <w:kern w:val="2"/>
              <w:sz w:val="22"/>
              <w:lang w:val="en-US"/>
              <w14:ligatures w14:val="standardContextual"/>
            </w:rPr>
          </w:pPr>
          <w:hyperlink w:anchor="_Toc174975056" w:history="1">
            <w:r w:rsidR="000B2318" w:rsidRPr="00F26963">
              <w:rPr>
                <w:rStyle w:val="Hyperlink"/>
                <w:noProof/>
              </w:rPr>
              <w:t>8.</w:t>
            </w:r>
            <w:r w:rsidR="000B2318">
              <w:rPr>
                <w:rFonts w:asciiTheme="minorHAnsi" w:hAnsiTheme="minorHAnsi"/>
                <w:noProof/>
                <w:kern w:val="2"/>
                <w:sz w:val="22"/>
                <w:lang w:val="en-US"/>
                <w14:ligatures w14:val="standardContextual"/>
              </w:rPr>
              <w:tab/>
            </w:r>
            <w:r w:rsidR="000B2318" w:rsidRPr="00F26963">
              <w:rPr>
                <w:rStyle w:val="Hyperlink"/>
                <w:noProof/>
              </w:rPr>
              <w:t>Trade Exceptions and Non-Applications Provisions (Non-Competitive Procurement Process)</w:t>
            </w:r>
            <w:r w:rsidR="000B2318">
              <w:rPr>
                <w:noProof/>
                <w:webHidden/>
              </w:rPr>
              <w:tab/>
            </w:r>
            <w:r w:rsidR="000B2318">
              <w:rPr>
                <w:noProof/>
                <w:webHidden/>
              </w:rPr>
              <w:fldChar w:fldCharType="begin"/>
            </w:r>
            <w:r w:rsidR="000B2318">
              <w:rPr>
                <w:noProof/>
                <w:webHidden/>
              </w:rPr>
              <w:instrText xml:space="preserve"> PAGEREF _Toc174975056 \h </w:instrText>
            </w:r>
            <w:r w:rsidR="000B2318">
              <w:rPr>
                <w:noProof/>
                <w:webHidden/>
              </w:rPr>
            </w:r>
            <w:r w:rsidR="000B2318">
              <w:rPr>
                <w:noProof/>
                <w:webHidden/>
              </w:rPr>
              <w:fldChar w:fldCharType="separate"/>
            </w:r>
            <w:r w:rsidR="000B2318">
              <w:rPr>
                <w:noProof/>
                <w:webHidden/>
              </w:rPr>
              <w:t>22</w:t>
            </w:r>
            <w:r w:rsidR="000B2318">
              <w:rPr>
                <w:noProof/>
                <w:webHidden/>
              </w:rPr>
              <w:fldChar w:fldCharType="end"/>
            </w:r>
          </w:hyperlink>
        </w:p>
        <w:p w14:paraId="7D52D349" w14:textId="3347D96E" w:rsidR="000B2318" w:rsidRDefault="00312A9E">
          <w:pPr>
            <w:pStyle w:val="TOC2"/>
            <w:rPr>
              <w:rFonts w:asciiTheme="minorHAnsi" w:hAnsiTheme="minorHAnsi"/>
              <w:noProof/>
              <w:kern w:val="2"/>
              <w:sz w:val="22"/>
              <w:lang w:val="en-US"/>
              <w14:ligatures w14:val="standardContextual"/>
            </w:rPr>
          </w:pPr>
          <w:hyperlink w:anchor="_Toc174975057" w:history="1">
            <w:r w:rsidR="000B2318" w:rsidRPr="00F26963">
              <w:rPr>
                <w:rStyle w:val="Hyperlink"/>
                <w:noProof/>
              </w:rPr>
              <w:t>Strategy 6: leverage trade agreements’ non-application/limited tendering opportunities to give preference to an Ontario business wherever feasible.</w:t>
            </w:r>
            <w:r w:rsidR="000B2318">
              <w:rPr>
                <w:noProof/>
                <w:webHidden/>
              </w:rPr>
              <w:tab/>
            </w:r>
            <w:r w:rsidR="000B2318">
              <w:rPr>
                <w:noProof/>
                <w:webHidden/>
              </w:rPr>
              <w:fldChar w:fldCharType="begin"/>
            </w:r>
            <w:r w:rsidR="000B2318">
              <w:rPr>
                <w:noProof/>
                <w:webHidden/>
              </w:rPr>
              <w:instrText xml:space="preserve"> PAGEREF _Toc174975057 \h </w:instrText>
            </w:r>
            <w:r w:rsidR="000B2318">
              <w:rPr>
                <w:noProof/>
                <w:webHidden/>
              </w:rPr>
            </w:r>
            <w:r w:rsidR="000B2318">
              <w:rPr>
                <w:noProof/>
                <w:webHidden/>
              </w:rPr>
              <w:fldChar w:fldCharType="separate"/>
            </w:r>
            <w:r w:rsidR="000B2318">
              <w:rPr>
                <w:noProof/>
                <w:webHidden/>
              </w:rPr>
              <w:t>22</w:t>
            </w:r>
            <w:r w:rsidR="000B2318">
              <w:rPr>
                <w:noProof/>
                <w:webHidden/>
              </w:rPr>
              <w:fldChar w:fldCharType="end"/>
            </w:r>
          </w:hyperlink>
        </w:p>
        <w:p w14:paraId="6D809330" w14:textId="3A63EBE5" w:rsidR="000B2318" w:rsidRDefault="00312A9E">
          <w:pPr>
            <w:pStyle w:val="TOC1"/>
            <w:rPr>
              <w:rFonts w:asciiTheme="minorHAnsi" w:hAnsiTheme="minorHAnsi"/>
              <w:noProof/>
              <w:kern w:val="2"/>
              <w:sz w:val="22"/>
              <w:lang w:val="en-US"/>
              <w14:ligatures w14:val="standardContextual"/>
            </w:rPr>
          </w:pPr>
          <w:hyperlink w:anchor="_Toc174975058" w:history="1">
            <w:r w:rsidR="000B2318" w:rsidRPr="00F26963">
              <w:rPr>
                <w:rStyle w:val="Hyperlink"/>
                <w:noProof/>
              </w:rPr>
              <w:t>9.</w:t>
            </w:r>
            <w:r w:rsidR="000B2318">
              <w:rPr>
                <w:rFonts w:asciiTheme="minorHAnsi" w:hAnsiTheme="minorHAnsi"/>
                <w:noProof/>
                <w:kern w:val="2"/>
                <w:sz w:val="22"/>
                <w:lang w:val="en-US"/>
                <w14:ligatures w14:val="standardContextual"/>
              </w:rPr>
              <w:tab/>
            </w:r>
            <w:r w:rsidR="000B2318" w:rsidRPr="00F26963">
              <w:rPr>
                <w:rStyle w:val="Hyperlink"/>
                <w:noProof/>
              </w:rPr>
              <w:t>APPENDICES</w:t>
            </w:r>
            <w:r w:rsidR="000B2318">
              <w:rPr>
                <w:noProof/>
                <w:webHidden/>
              </w:rPr>
              <w:tab/>
            </w:r>
            <w:r w:rsidR="000B2318">
              <w:rPr>
                <w:noProof/>
                <w:webHidden/>
              </w:rPr>
              <w:fldChar w:fldCharType="begin"/>
            </w:r>
            <w:r w:rsidR="000B2318">
              <w:rPr>
                <w:noProof/>
                <w:webHidden/>
              </w:rPr>
              <w:instrText xml:space="preserve"> PAGEREF _Toc174975058 \h </w:instrText>
            </w:r>
            <w:r w:rsidR="000B2318">
              <w:rPr>
                <w:noProof/>
                <w:webHidden/>
              </w:rPr>
            </w:r>
            <w:r w:rsidR="000B2318">
              <w:rPr>
                <w:noProof/>
                <w:webHidden/>
              </w:rPr>
              <w:fldChar w:fldCharType="separate"/>
            </w:r>
            <w:r w:rsidR="000B2318">
              <w:rPr>
                <w:noProof/>
                <w:webHidden/>
              </w:rPr>
              <w:t>26</w:t>
            </w:r>
            <w:r w:rsidR="000B2318">
              <w:rPr>
                <w:noProof/>
                <w:webHidden/>
              </w:rPr>
              <w:fldChar w:fldCharType="end"/>
            </w:r>
          </w:hyperlink>
        </w:p>
        <w:p w14:paraId="789B7DD0" w14:textId="1501CF6A" w:rsidR="000B2318" w:rsidRDefault="00312A9E">
          <w:pPr>
            <w:pStyle w:val="TOC2"/>
            <w:tabs>
              <w:tab w:val="left" w:pos="1936"/>
            </w:tabs>
            <w:rPr>
              <w:rFonts w:asciiTheme="minorHAnsi" w:hAnsiTheme="minorHAnsi"/>
              <w:noProof/>
              <w:kern w:val="2"/>
              <w:sz w:val="22"/>
              <w:lang w:val="en-US"/>
              <w14:ligatures w14:val="standardContextual"/>
            </w:rPr>
          </w:pPr>
          <w:hyperlink w:anchor="_Toc174975059" w:history="1">
            <w:r w:rsidR="000B2318" w:rsidRPr="00F26963">
              <w:rPr>
                <w:rStyle w:val="Hyperlink"/>
                <w:noProof/>
              </w:rPr>
              <w:t>Appendix A.1.</w:t>
            </w:r>
            <w:r w:rsidR="000B2318">
              <w:rPr>
                <w:rFonts w:asciiTheme="minorHAnsi" w:hAnsiTheme="minorHAnsi"/>
                <w:noProof/>
                <w:kern w:val="2"/>
                <w:sz w:val="22"/>
                <w:lang w:val="en-US"/>
                <w14:ligatures w14:val="standardContextual"/>
              </w:rPr>
              <w:tab/>
            </w:r>
            <w:r w:rsidR="000B2318" w:rsidRPr="00F26963">
              <w:rPr>
                <w:rStyle w:val="Hyperlink"/>
                <w:noProof/>
              </w:rPr>
              <w:t>Weighted domestic criteria</w:t>
            </w:r>
            <w:r w:rsidR="000B2318">
              <w:rPr>
                <w:noProof/>
                <w:webHidden/>
              </w:rPr>
              <w:tab/>
            </w:r>
            <w:r w:rsidR="000B2318">
              <w:rPr>
                <w:noProof/>
                <w:webHidden/>
              </w:rPr>
              <w:fldChar w:fldCharType="begin"/>
            </w:r>
            <w:r w:rsidR="000B2318">
              <w:rPr>
                <w:noProof/>
                <w:webHidden/>
              </w:rPr>
              <w:instrText xml:space="preserve"> PAGEREF _Toc174975059 \h </w:instrText>
            </w:r>
            <w:r w:rsidR="000B2318">
              <w:rPr>
                <w:noProof/>
                <w:webHidden/>
              </w:rPr>
            </w:r>
            <w:r w:rsidR="000B2318">
              <w:rPr>
                <w:noProof/>
                <w:webHidden/>
              </w:rPr>
              <w:fldChar w:fldCharType="separate"/>
            </w:r>
            <w:r w:rsidR="000B2318">
              <w:rPr>
                <w:noProof/>
                <w:webHidden/>
              </w:rPr>
              <w:t>26</w:t>
            </w:r>
            <w:r w:rsidR="000B2318">
              <w:rPr>
                <w:noProof/>
                <w:webHidden/>
              </w:rPr>
              <w:fldChar w:fldCharType="end"/>
            </w:r>
          </w:hyperlink>
        </w:p>
        <w:p w14:paraId="00368BA1" w14:textId="7EEB8502" w:rsidR="000B2318" w:rsidRDefault="00312A9E">
          <w:pPr>
            <w:pStyle w:val="TOC2"/>
            <w:tabs>
              <w:tab w:val="left" w:pos="1975"/>
            </w:tabs>
            <w:rPr>
              <w:rFonts w:asciiTheme="minorHAnsi" w:hAnsiTheme="minorHAnsi"/>
              <w:noProof/>
              <w:kern w:val="2"/>
              <w:sz w:val="22"/>
              <w:lang w:val="en-US"/>
              <w14:ligatures w14:val="standardContextual"/>
            </w:rPr>
          </w:pPr>
          <w:hyperlink w:anchor="_Toc174975060" w:history="1">
            <w:r w:rsidR="000B2318" w:rsidRPr="00F26963">
              <w:rPr>
                <w:rStyle w:val="Hyperlink"/>
                <w:noProof/>
              </w:rPr>
              <w:t>Appendix A.2.</w:t>
            </w:r>
            <w:r w:rsidR="000B2318">
              <w:rPr>
                <w:rFonts w:asciiTheme="minorHAnsi" w:hAnsiTheme="minorHAnsi"/>
                <w:noProof/>
                <w:kern w:val="2"/>
                <w:sz w:val="22"/>
                <w:lang w:val="en-US"/>
                <w14:ligatures w14:val="standardContextual"/>
              </w:rPr>
              <w:tab/>
            </w:r>
            <w:r w:rsidR="000B2318" w:rsidRPr="00F26963">
              <w:rPr>
                <w:rStyle w:val="Hyperlink"/>
                <w:noProof/>
              </w:rPr>
              <w:t>Examples of Weighted domestic criteria</w:t>
            </w:r>
            <w:r w:rsidR="000B2318">
              <w:rPr>
                <w:noProof/>
                <w:webHidden/>
              </w:rPr>
              <w:tab/>
            </w:r>
            <w:r w:rsidR="000B2318">
              <w:rPr>
                <w:noProof/>
                <w:webHidden/>
              </w:rPr>
              <w:fldChar w:fldCharType="begin"/>
            </w:r>
            <w:r w:rsidR="000B2318">
              <w:rPr>
                <w:noProof/>
                <w:webHidden/>
              </w:rPr>
              <w:instrText xml:space="preserve"> PAGEREF _Toc174975060 \h </w:instrText>
            </w:r>
            <w:r w:rsidR="000B2318">
              <w:rPr>
                <w:noProof/>
                <w:webHidden/>
              </w:rPr>
            </w:r>
            <w:r w:rsidR="000B2318">
              <w:rPr>
                <w:noProof/>
                <w:webHidden/>
              </w:rPr>
              <w:fldChar w:fldCharType="separate"/>
            </w:r>
            <w:r w:rsidR="000B2318">
              <w:rPr>
                <w:noProof/>
                <w:webHidden/>
              </w:rPr>
              <w:t>27</w:t>
            </w:r>
            <w:r w:rsidR="000B2318">
              <w:rPr>
                <w:noProof/>
                <w:webHidden/>
              </w:rPr>
              <w:fldChar w:fldCharType="end"/>
            </w:r>
          </w:hyperlink>
        </w:p>
        <w:p w14:paraId="479744BA" w14:textId="21B58206" w:rsidR="000B2318" w:rsidRDefault="00312A9E">
          <w:pPr>
            <w:pStyle w:val="TOC2"/>
            <w:rPr>
              <w:rFonts w:asciiTheme="minorHAnsi" w:hAnsiTheme="minorHAnsi"/>
              <w:noProof/>
              <w:kern w:val="2"/>
              <w:sz w:val="22"/>
              <w:lang w:val="en-US"/>
              <w14:ligatures w14:val="standardContextual"/>
            </w:rPr>
          </w:pPr>
          <w:hyperlink w:anchor="_Toc174975061" w:history="1">
            <w:r w:rsidR="000B2318" w:rsidRPr="00F26963">
              <w:rPr>
                <w:rStyle w:val="Hyperlink"/>
                <w:noProof/>
              </w:rPr>
              <w:t>Appendix B: Example of applying weighted domestic criteria in the procurement process</w:t>
            </w:r>
            <w:r w:rsidR="000B2318">
              <w:rPr>
                <w:noProof/>
                <w:webHidden/>
              </w:rPr>
              <w:tab/>
            </w:r>
            <w:r w:rsidR="000B2318">
              <w:rPr>
                <w:noProof/>
                <w:webHidden/>
              </w:rPr>
              <w:fldChar w:fldCharType="begin"/>
            </w:r>
            <w:r w:rsidR="000B2318">
              <w:rPr>
                <w:noProof/>
                <w:webHidden/>
              </w:rPr>
              <w:instrText xml:space="preserve"> PAGEREF _Toc174975061 \h </w:instrText>
            </w:r>
            <w:r w:rsidR="000B2318">
              <w:rPr>
                <w:noProof/>
                <w:webHidden/>
              </w:rPr>
            </w:r>
            <w:r w:rsidR="000B2318">
              <w:rPr>
                <w:noProof/>
                <w:webHidden/>
              </w:rPr>
              <w:fldChar w:fldCharType="separate"/>
            </w:r>
            <w:r w:rsidR="000B2318">
              <w:rPr>
                <w:noProof/>
                <w:webHidden/>
              </w:rPr>
              <w:t>37</w:t>
            </w:r>
            <w:r w:rsidR="000B2318">
              <w:rPr>
                <w:noProof/>
                <w:webHidden/>
              </w:rPr>
              <w:fldChar w:fldCharType="end"/>
            </w:r>
          </w:hyperlink>
        </w:p>
        <w:p w14:paraId="113477FB" w14:textId="2666C3C8" w:rsidR="000B2318" w:rsidRDefault="00312A9E">
          <w:pPr>
            <w:pStyle w:val="TOC2"/>
            <w:rPr>
              <w:rFonts w:asciiTheme="minorHAnsi" w:hAnsiTheme="minorHAnsi"/>
              <w:noProof/>
              <w:kern w:val="2"/>
              <w:sz w:val="22"/>
              <w:lang w:val="en-US"/>
              <w14:ligatures w14:val="standardContextual"/>
            </w:rPr>
          </w:pPr>
          <w:hyperlink w:anchor="_Toc174975062" w:history="1">
            <w:r w:rsidR="000B2318" w:rsidRPr="00F26963">
              <w:rPr>
                <w:rStyle w:val="Hyperlink"/>
                <w:noProof/>
              </w:rPr>
              <w:t>Appendix C: List of Trade Agreements with List of Member Countries</w:t>
            </w:r>
            <w:r w:rsidR="000B2318">
              <w:rPr>
                <w:noProof/>
                <w:webHidden/>
              </w:rPr>
              <w:tab/>
            </w:r>
            <w:r w:rsidR="000B2318">
              <w:rPr>
                <w:noProof/>
                <w:webHidden/>
              </w:rPr>
              <w:fldChar w:fldCharType="begin"/>
            </w:r>
            <w:r w:rsidR="000B2318">
              <w:rPr>
                <w:noProof/>
                <w:webHidden/>
              </w:rPr>
              <w:instrText xml:space="preserve"> PAGEREF _Toc174975062 \h </w:instrText>
            </w:r>
            <w:r w:rsidR="000B2318">
              <w:rPr>
                <w:noProof/>
                <w:webHidden/>
              </w:rPr>
            </w:r>
            <w:r w:rsidR="000B2318">
              <w:rPr>
                <w:noProof/>
                <w:webHidden/>
              </w:rPr>
              <w:fldChar w:fldCharType="separate"/>
            </w:r>
            <w:r w:rsidR="000B2318">
              <w:rPr>
                <w:noProof/>
                <w:webHidden/>
              </w:rPr>
              <w:t>38</w:t>
            </w:r>
            <w:r w:rsidR="000B2318">
              <w:rPr>
                <w:noProof/>
                <w:webHidden/>
              </w:rPr>
              <w:fldChar w:fldCharType="end"/>
            </w:r>
          </w:hyperlink>
        </w:p>
        <w:p w14:paraId="24EB82F8" w14:textId="4C544789" w:rsidR="000B2318" w:rsidRDefault="00312A9E">
          <w:pPr>
            <w:pStyle w:val="TOC2"/>
            <w:rPr>
              <w:rFonts w:asciiTheme="minorHAnsi" w:hAnsiTheme="minorHAnsi"/>
              <w:noProof/>
              <w:kern w:val="2"/>
              <w:sz w:val="22"/>
              <w:lang w:val="en-US"/>
              <w14:ligatures w14:val="standardContextual"/>
            </w:rPr>
          </w:pPr>
          <w:hyperlink w:anchor="_Toc174975063" w:history="1">
            <w:r w:rsidR="000B2318" w:rsidRPr="00F26963">
              <w:rPr>
                <w:rStyle w:val="Hyperlink"/>
                <w:noProof/>
              </w:rPr>
              <w:t>Appendix D: BOBI Strategy At a Glance for the OPS Buyers</w:t>
            </w:r>
            <w:r w:rsidR="000B2318">
              <w:rPr>
                <w:noProof/>
                <w:webHidden/>
              </w:rPr>
              <w:tab/>
            </w:r>
            <w:r w:rsidR="000B2318">
              <w:rPr>
                <w:noProof/>
                <w:webHidden/>
              </w:rPr>
              <w:fldChar w:fldCharType="begin"/>
            </w:r>
            <w:r w:rsidR="000B2318">
              <w:rPr>
                <w:noProof/>
                <w:webHidden/>
              </w:rPr>
              <w:instrText xml:space="preserve"> PAGEREF _Toc174975063 \h </w:instrText>
            </w:r>
            <w:r w:rsidR="000B2318">
              <w:rPr>
                <w:noProof/>
                <w:webHidden/>
              </w:rPr>
            </w:r>
            <w:r w:rsidR="000B2318">
              <w:rPr>
                <w:noProof/>
                <w:webHidden/>
              </w:rPr>
              <w:fldChar w:fldCharType="separate"/>
            </w:r>
            <w:r w:rsidR="000B2318">
              <w:rPr>
                <w:noProof/>
                <w:webHidden/>
              </w:rPr>
              <w:t>42</w:t>
            </w:r>
            <w:r w:rsidR="000B2318">
              <w:rPr>
                <w:noProof/>
                <w:webHidden/>
              </w:rPr>
              <w:fldChar w:fldCharType="end"/>
            </w:r>
          </w:hyperlink>
        </w:p>
        <w:p w14:paraId="7A0C3311" w14:textId="7F76A114" w:rsidR="000B2318" w:rsidRDefault="00312A9E">
          <w:pPr>
            <w:pStyle w:val="TOC2"/>
            <w:rPr>
              <w:rFonts w:asciiTheme="minorHAnsi" w:hAnsiTheme="minorHAnsi"/>
              <w:noProof/>
              <w:kern w:val="2"/>
              <w:sz w:val="22"/>
              <w:lang w:val="en-US"/>
              <w14:ligatures w14:val="standardContextual"/>
            </w:rPr>
          </w:pPr>
          <w:hyperlink w:anchor="_Toc174975064" w:history="1">
            <w:r w:rsidR="000B2318" w:rsidRPr="00F26963">
              <w:rPr>
                <w:rStyle w:val="Hyperlink"/>
                <w:noProof/>
              </w:rPr>
              <w:t>Appendix E: BOBI Strategy At a Glance for the BPS Buyers</w:t>
            </w:r>
            <w:r w:rsidR="000B2318">
              <w:rPr>
                <w:noProof/>
                <w:webHidden/>
              </w:rPr>
              <w:tab/>
            </w:r>
            <w:r w:rsidR="000B2318">
              <w:rPr>
                <w:noProof/>
                <w:webHidden/>
              </w:rPr>
              <w:fldChar w:fldCharType="begin"/>
            </w:r>
            <w:r w:rsidR="000B2318">
              <w:rPr>
                <w:noProof/>
                <w:webHidden/>
              </w:rPr>
              <w:instrText xml:space="preserve"> PAGEREF _Toc174975064 \h </w:instrText>
            </w:r>
            <w:r w:rsidR="000B2318">
              <w:rPr>
                <w:noProof/>
                <w:webHidden/>
              </w:rPr>
            </w:r>
            <w:r w:rsidR="000B2318">
              <w:rPr>
                <w:noProof/>
                <w:webHidden/>
              </w:rPr>
              <w:fldChar w:fldCharType="separate"/>
            </w:r>
            <w:r w:rsidR="000B2318">
              <w:rPr>
                <w:noProof/>
                <w:webHidden/>
              </w:rPr>
              <w:t>43</w:t>
            </w:r>
            <w:r w:rsidR="000B2318">
              <w:rPr>
                <w:noProof/>
                <w:webHidden/>
              </w:rPr>
              <w:fldChar w:fldCharType="end"/>
            </w:r>
          </w:hyperlink>
        </w:p>
        <w:p w14:paraId="410FFE40" w14:textId="5977225F" w:rsidR="000B2318" w:rsidRDefault="00312A9E">
          <w:pPr>
            <w:pStyle w:val="TOC2"/>
            <w:rPr>
              <w:rFonts w:asciiTheme="minorHAnsi" w:hAnsiTheme="minorHAnsi"/>
              <w:noProof/>
              <w:kern w:val="2"/>
              <w:sz w:val="22"/>
              <w:lang w:val="en-US"/>
              <w14:ligatures w14:val="standardContextual"/>
            </w:rPr>
          </w:pPr>
          <w:hyperlink w:anchor="_Toc174975065" w:history="1">
            <w:r w:rsidR="000B2318" w:rsidRPr="00F26963">
              <w:rPr>
                <w:rStyle w:val="Hyperlink"/>
                <w:noProof/>
              </w:rPr>
              <w:t>Appendix F: trade thresholds</w:t>
            </w:r>
            <w:r w:rsidR="000B2318">
              <w:rPr>
                <w:noProof/>
                <w:webHidden/>
              </w:rPr>
              <w:tab/>
            </w:r>
            <w:r w:rsidR="000B2318">
              <w:rPr>
                <w:noProof/>
                <w:webHidden/>
              </w:rPr>
              <w:fldChar w:fldCharType="begin"/>
            </w:r>
            <w:r w:rsidR="000B2318">
              <w:rPr>
                <w:noProof/>
                <w:webHidden/>
              </w:rPr>
              <w:instrText xml:space="preserve"> PAGEREF _Toc174975065 \h </w:instrText>
            </w:r>
            <w:r w:rsidR="000B2318">
              <w:rPr>
                <w:noProof/>
                <w:webHidden/>
              </w:rPr>
            </w:r>
            <w:r w:rsidR="000B2318">
              <w:rPr>
                <w:noProof/>
                <w:webHidden/>
              </w:rPr>
              <w:fldChar w:fldCharType="separate"/>
            </w:r>
            <w:r w:rsidR="000B2318">
              <w:rPr>
                <w:noProof/>
                <w:webHidden/>
              </w:rPr>
              <w:t>44</w:t>
            </w:r>
            <w:r w:rsidR="000B2318">
              <w:rPr>
                <w:noProof/>
                <w:webHidden/>
              </w:rPr>
              <w:fldChar w:fldCharType="end"/>
            </w:r>
          </w:hyperlink>
        </w:p>
        <w:p w14:paraId="23338193" w14:textId="10927109" w:rsidR="007C357B" w:rsidRPr="000202DB" w:rsidRDefault="009D798B" w:rsidP="009D798B">
          <w:pPr>
            <w:spacing w:before="0" w:line="259" w:lineRule="auto"/>
            <w:jc w:val="center"/>
          </w:pPr>
          <w:r>
            <w:fldChar w:fldCharType="end"/>
          </w:r>
        </w:p>
      </w:sdtContent>
    </w:sdt>
    <w:p w14:paraId="6A83D6A5" w14:textId="342DDBD3" w:rsidR="00C67CDA" w:rsidRPr="000202DB" w:rsidRDefault="00C67CDA" w:rsidP="00264B5C">
      <w:pPr>
        <w:tabs>
          <w:tab w:val="left" w:pos="7905"/>
        </w:tabs>
        <w:rPr>
          <w:rFonts w:cs="Arial"/>
          <w:sz w:val="44"/>
        </w:rPr>
      </w:pPr>
    </w:p>
    <w:p w14:paraId="3A7F1D52" w14:textId="34C2D30C" w:rsidR="00C67CDA" w:rsidRPr="000202DB" w:rsidRDefault="00C67CDA" w:rsidP="00264B5C">
      <w:pPr>
        <w:rPr>
          <w:rFonts w:cs="Arial"/>
        </w:rPr>
      </w:pPr>
    </w:p>
    <w:p w14:paraId="3994A49D" w14:textId="5D35E72D" w:rsidR="00E846C6" w:rsidRPr="000202DB" w:rsidRDefault="00E846C6" w:rsidP="00264B5C">
      <w:pPr>
        <w:ind w:hanging="357"/>
        <w:rPr>
          <w:rStyle w:val="Hyperlink"/>
          <w:caps/>
          <w:color w:val="auto"/>
        </w:rPr>
      </w:pPr>
      <w:r w:rsidRPr="000202DB">
        <w:rPr>
          <w:rStyle w:val="Hyperlink"/>
          <w:caps/>
          <w:color w:val="auto"/>
        </w:rPr>
        <w:br w:type="page"/>
      </w:r>
    </w:p>
    <w:p w14:paraId="36FA5032" w14:textId="77777777" w:rsidR="008E16A8" w:rsidRPr="000202DB" w:rsidRDefault="008E16A8" w:rsidP="00BC679E">
      <w:pPr>
        <w:spacing w:after="240"/>
        <w:rPr>
          <w:b/>
          <w:sz w:val="28"/>
          <w:szCs w:val="28"/>
        </w:rPr>
      </w:pPr>
      <w:r w:rsidRPr="000202DB">
        <w:rPr>
          <w:b/>
          <w:sz w:val="28"/>
          <w:szCs w:val="28"/>
        </w:rPr>
        <w:lastRenderedPageBreak/>
        <w:t xml:space="preserve">WARNINGS and DISCLAIMER: </w:t>
      </w:r>
    </w:p>
    <w:p w14:paraId="3BFF072D" w14:textId="04A979F7" w:rsidR="009C26D9" w:rsidRPr="000202DB" w:rsidRDefault="009C26D9" w:rsidP="00BC679E">
      <w:pPr>
        <w:pStyle w:val="CommentText"/>
        <w:spacing w:after="240"/>
        <w:rPr>
          <w:rFonts w:eastAsia="Times New Roman" w:cs="Arial"/>
          <w:sz w:val="24"/>
          <w:szCs w:val="24"/>
          <w:lang w:eastAsia="en-CA"/>
        </w:rPr>
      </w:pPr>
      <w:r w:rsidRPr="000202DB">
        <w:rPr>
          <w:rFonts w:eastAsia="Times New Roman" w:cs="Arial"/>
          <w:sz w:val="24"/>
          <w:szCs w:val="24"/>
          <w:lang w:eastAsia="en-CA"/>
        </w:rPr>
        <w:t xml:space="preserve">This document contains suggested terms which may be used in procurement documents issued by Ontario. Final terms </w:t>
      </w:r>
      <w:r w:rsidR="00DB04AB" w:rsidRPr="000202DB">
        <w:rPr>
          <w:rFonts w:eastAsia="Times New Roman" w:cs="Arial"/>
          <w:sz w:val="24"/>
          <w:szCs w:val="24"/>
          <w:lang w:eastAsia="en-CA"/>
        </w:rPr>
        <w:t xml:space="preserve">used </w:t>
      </w:r>
      <w:r w:rsidRPr="000202DB">
        <w:rPr>
          <w:rFonts w:eastAsia="Times New Roman" w:cs="Arial"/>
          <w:sz w:val="24"/>
          <w:szCs w:val="24"/>
          <w:lang w:eastAsia="en-CA"/>
        </w:rPr>
        <w:t xml:space="preserve">in any procurement document or contract may differ. As such, this document is not to be interpreted as creating any legal rights or obligations applicable to either Ontario or any of its bidders or contractors. Where such terms are at issue, they will be found exclusively in the procurement document or contract specifically governing the particular transaction. </w:t>
      </w:r>
    </w:p>
    <w:p w14:paraId="3E5C65D5" w14:textId="15C9724A" w:rsidR="003A41D7" w:rsidRPr="000202DB" w:rsidRDefault="009C26D9" w:rsidP="00264B5C">
      <w:pPr>
        <w:pStyle w:val="CommentText"/>
        <w:spacing w:after="240"/>
        <w:rPr>
          <w:rFonts w:eastAsia="Times New Roman" w:cs="Arial"/>
          <w:sz w:val="24"/>
          <w:szCs w:val="24"/>
          <w:lang w:eastAsia="en-CA"/>
        </w:rPr>
      </w:pPr>
      <w:r w:rsidRPr="000202DB">
        <w:rPr>
          <w:rFonts w:eastAsia="Times New Roman" w:cs="Arial"/>
          <w:sz w:val="24"/>
          <w:szCs w:val="24"/>
          <w:lang w:eastAsia="en-CA"/>
        </w:rPr>
        <w:t xml:space="preserve">This language is provided to assist users in fulfilling their obligations </w:t>
      </w:r>
      <w:r w:rsidR="00A82591" w:rsidRPr="000202DB">
        <w:rPr>
          <w:rFonts w:eastAsia="Times New Roman" w:cs="Arial"/>
          <w:sz w:val="24"/>
          <w:szCs w:val="24"/>
          <w:lang w:eastAsia="en-CA"/>
        </w:rPr>
        <w:t xml:space="preserve">under the </w:t>
      </w:r>
      <w:r w:rsidR="00A82591" w:rsidRPr="000202DB">
        <w:rPr>
          <w:rStyle w:val="normaltextrun"/>
          <w:rFonts w:cs="Arial"/>
          <w:sz w:val="24"/>
          <w:szCs w:val="24"/>
          <w:shd w:val="clear" w:color="auto" w:fill="FFFFFF"/>
        </w:rPr>
        <w:t xml:space="preserve">Centralization and Building Ontario Businesses </w:t>
      </w:r>
      <w:r w:rsidR="003849B3" w:rsidRPr="000202DB">
        <w:rPr>
          <w:rStyle w:val="normaltextrun"/>
          <w:rFonts w:cs="Arial"/>
          <w:sz w:val="24"/>
          <w:szCs w:val="24"/>
          <w:shd w:val="clear" w:color="auto" w:fill="FFFFFF"/>
        </w:rPr>
        <w:t>Initiative</w:t>
      </w:r>
      <w:r w:rsidR="00A82591" w:rsidRPr="000202DB">
        <w:rPr>
          <w:rFonts w:eastAsia="Times New Roman" w:cs="Arial"/>
          <w:sz w:val="24"/>
          <w:szCs w:val="24"/>
          <w:lang w:eastAsia="en-CA"/>
        </w:rPr>
        <w:t xml:space="preserve"> </w:t>
      </w:r>
      <w:r w:rsidRPr="000202DB">
        <w:rPr>
          <w:rFonts w:eastAsia="Times New Roman" w:cs="Arial"/>
          <w:sz w:val="24"/>
          <w:szCs w:val="24"/>
          <w:lang w:eastAsia="en-CA"/>
        </w:rPr>
        <w:t xml:space="preserve">the </w:t>
      </w:r>
      <w:r w:rsidR="003A41D7" w:rsidRPr="000202DB">
        <w:rPr>
          <w:rFonts w:eastAsia="Times New Roman" w:cs="Arial"/>
          <w:sz w:val="24"/>
          <w:szCs w:val="24"/>
          <w:lang w:eastAsia="en-CA"/>
        </w:rPr>
        <w:t>Ontario Public Service (OPS) and the Broader Public Sector (BPS) Procurement Directives</w:t>
      </w:r>
      <w:r w:rsidR="003C2A07" w:rsidRPr="000202DB">
        <w:rPr>
          <w:rFonts w:eastAsia="Times New Roman" w:cs="Arial"/>
          <w:sz w:val="24"/>
          <w:szCs w:val="24"/>
          <w:lang w:eastAsia="en-CA"/>
        </w:rPr>
        <w:t>.</w:t>
      </w:r>
      <w:r w:rsidR="003A41D7" w:rsidRPr="000202DB">
        <w:rPr>
          <w:rFonts w:eastAsia="Times New Roman" w:cs="Arial"/>
          <w:sz w:val="24"/>
          <w:szCs w:val="24"/>
          <w:lang w:eastAsia="en-CA"/>
        </w:rPr>
        <w:t xml:space="preserve"> </w:t>
      </w:r>
    </w:p>
    <w:p w14:paraId="7988F6E4" w14:textId="52AAD2B0" w:rsidR="009C26D9" w:rsidRPr="000202DB" w:rsidRDefault="003575A8" w:rsidP="00264B5C">
      <w:pPr>
        <w:pStyle w:val="CommentText"/>
        <w:spacing w:after="240"/>
        <w:rPr>
          <w:rFonts w:eastAsia="Times New Roman" w:cs="Arial"/>
          <w:sz w:val="24"/>
          <w:szCs w:val="24"/>
          <w:lang w:eastAsia="en-CA"/>
        </w:rPr>
      </w:pPr>
      <w:r w:rsidRPr="000202DB">
        <w:rPr>
          <w:rFonts w:eastAsia="Times New Roman" w:cs="Arial"/>
          <w:sz w:val="24"/>
          <w:szCs w:val="24"/>
          <w:lang w:eastAsia="en-CA"/>
        </w:rPr>
        <w:t>U</w:t>
      </w:r>
      <w:r w:rsidR="009C26D9" w:rsidRPr="000202DB">
        <w:rPr>
          <w:rFonts w:eastAsia="Times New Roman" w:cs="Arial"/>
          <w:sz w:val="24"/>
          <w:szCs w:val="24"/>
          <w:lang w:eastAsia="en-CA"/>
        </w:rPr>
        <w:t xml:space="preserve">sers should </w:t>
      </w:r>
      <w:r w:rsidRPr="000202DB">
        <w:rPr>
          <w:rFonts w:eastAsia="Times New Roman" w:cs="Arial"/>
          <w:sz w:val="24"/>
          <w:szCs w:val="24"/>
          <w:lang w:eastAsia="en-CA"/>
        </w:rPr>
        <w:t xml:space="preserve">always </w:t>
      </w:r>
      <w:r w:rsidR="009C26D9" w:rsidRPr="000202DB">
        <w:rPr>
          <w:rFonts w:eastAsia="Times New Roman" w:cs="Arial"/>
          <w:sz w:val="24"/>
          <w:szCs w:val="24"/>
          <w:lang w:eastAsia="en-CA"/>
        </w:rPr>
        <w:t xml:space="preserve">consult with their procurement, </w:t>
      </w:r>
      <w:r w:rsidR="003D496A" w:rsidRPr="000202DB">
        <w:rPr>
          <w:rFonts w:eastAsia="Times New Roman" w:cs="Arial"/>
          <w:sz w:val="24"/>
          <w:szCs w:val="24"/>
          <w:lang w:eastAsia="en-CA"/>
        </w:rPr>
        <w:t>business,</w:t>
      </w:r>
      <w:r w:rsidR="009C26D9" w:rsidRPr="000202DB">
        <w:rPr>
          <w:rFonts w:eastAsia="Times New Roman" w:cs="Arial"/>
          <w:sz w:val="24"/>
          <w:szCs w:val="24"/>
          <w:lang w:eastAsia="en-CA"/>
        </w:rPr>
        <w:t xml:space="preserve"> and legal advisors on proper us</w:t>
      </w:r>
      <w:r w:rsidR="00DB04AB" w:rsidRPr="000202DB">
        <w:rPr>
          <w:rFonts w:eastAsia="Times New Roman" w:cs="Arial"/>
          <w:sz w:val="24"/>
          <w:szCs w:val="24"/>
          <w:lang w:eastAsia="en-CA"/>
        </w:rPr>
        <w:t>e</w:t>
      </w:r>
      <w:r w:rsidR="009C26D9" w:rsidRPr="000202DB">
        <w:rPr>
          <w:rFonts w:eastAsia="Times New Roman" w:cs="Arial"/>
          <w:sz w:val="24"/>
          <w:szCs w:val="24"/>
          <w:lang w:eastAsia="en-CA"/>
        </w:rPr>
        <w:t xml:space="preserve"> of this document and its content</w:t>
      </w:r>
      <w:r w:rsidR="00DB04AB" w:rsidRPr="000202DB">
        <w:rPr>
          <w:rFonts w:eastAsia="Times New Roman" w:cs="Arial"/>
          <w:sz w:val="24"/>
          <w:szCs w:val="24"/>
          <w:lang w:eastAsia="en-CA"/>
        </w:rPr>
        <w:t>s</w:t>
      </w:r>
      <w:r w:rsidR="009C26D9" w:rsidRPr="000202DB">
        <w:rPr>
          <w:rFonts w:eastAsia="Times New Roman" w:cs="Arial"/>
          <w:sz w:val="24"/>
          <w:szCs w:val="24"/>
          <w:lang w:eastAsia="en-CA"/>
        </w:rPr>
        <w:t xml:space="preserve">. Users should </w:t>
      </w:r>
      <w:r w:rsidR="005B0AF5" w:rsidRPr="000202DB">
        <w:rPr>
          <w:rFonts w:eastAsia="Times New Roman" w:cs="Arial"/>
          <w:sz w:val="24"/>
          <w:szCs w:val="24"/>
          <w:lang w:eastAsia="en-CA"/>
        </w:rPr>
        <w:t xml:space="preserve">also </w:t>
      </w:r>
      <w:r w:rsidR="009C26D9" w:rsidRPr="000202DB">
        <w:rPr>
          <w:rFonts w:eastAsia="Times New Roman" w:cs="Arial"/>
          <w:sz w:val="24"/>
          <w:szCs w:val="24"/>
          <w:lang w:eastAsia="en-CA"/>
        </w:rPr>
        <w:t xml:space="preserve">consider their obligations under applicable procurement directives and </w:t>
      </w:r>
      <w:r w:rsidR="009766DC" w:rsidRPr="000202DB">
        <w:rPr>
          <w:rFonts w:eastAsia="Times New Roman" w:cs="Arial"/>
          <w:sz w:val="24"/>
          <w:szCs w:val="24"/>
          <w:lang w:eastAsia="en-CA"/>
        </w:rPr>
        <w:t xml:space="preserve">use </w:t>
      </w:r>
      <w:r w:rsidR="009C26D9" w:rsidRPr="000202DB">
        <w:rPr>
          <w:rFonts w:eastAsia="Times New Roman" w:cs="Arial"/>
          <w:sz w:val="24"/>
          <w:szCs w:val="24"/>
          <w:lang w:eastAsia="en-CA"/>
        </w:rPr>
        <w:t>the appropriate procurement process.</w:t>
      </w:r>
    </w:p>
    <w:p w14:paraId="2961DB5F" w14:textId="0C28477D" w:rsidR="0014030E" w:rsidRPr="000202DB" w:rsidRDefault="007C2117" w:rsidP="00264B5C">
      <w:pPr>
        <w:pStyle w:val="CommentText"/>
        <w:spacing w:after="240"/>
        <w:rPr>
          <w:rFonts w:eastAsia="Times New Roman" w:cs="Arial"/>
          <w:sz w:val="24"/>
          <w:szCs w:val="24"/>
          <w:lang w:eastAsia="en-CA"/>
        </w:rPr>
      </w:pPr>
      <w:r>
        <w:rPr>
          <w:rFonts w:eastAsia="Times New Roman" w:cs="Arial"/>
          <w:sz w:val="24"/>
          <w:szCs w:val="24"/>
          <w:lang w:eastAsia="en-CA"/>
        </w:rPr>
        <w:t>It is strongly recommended that a</w:t>
      </w:r>
      <w:r w:rsidR="0F8939D4" w:rsidRPr="000202DB">
        <w:rPr>
          <w:rFonts w:eastAsia="Times New Roman" w:cs="Arial"/>
          <w:sz w:val="24"/>
          <w:szCs w:val="24"/>
          <w:lang w:eastAsia="en-CA"/>
        </w:rPr>
        <w:t>ll users read and understand the Building Ontario Businesses Initiative (</w:t>
      </w:r>
      <w:r w:rsidR="3E0EE6D8" w:rsidRPr="000202DB">
        <w:rPr>
          <w:rFonts w:eastAsia="Times New Roman" w:cs="Arial"/>
          <w:sz w:val="24"/>
          <w:szCs w:val="24"/>
          <w:lang w:eastAsia="en-CA"/>
        </w:rPr>
        <w:t>BOB</w:t>
      </w:r>
      <w:r w:rsidR="7FB8805B" w:rsidRPr="000202DB">
        <w:rPr>
          <w:rFonts w:eastAsia="Times New Roman" w:cs="Arial"/>
          <w:sz w:val="24"/>
          <w:szCs w:val="24"/>
          <w:lang w:eastAsia="en-CA"/>
        </w:rPr>
        <w:t>I</w:t>
      </w:r>
      <w:r w:rsidR="3E0EE6D8" w:rsidRPr="000202DB">
        <w:rPr>
          <w:rFonts w:eastAsia="Times New Roman" w:cs="Arial"/>
          <w:sz w:val="24"/>
          <w:szCs w:val="24"/>
          <w:lang w:eastAsia="en-CA"/>
        </w:rPr>
        <w:t>) procurement</w:t>
      </w:r>
      <w:r w:rsidR="0F8939D4" w:rsidRPr="000202DB">
        <w:rPr>
          <w:rFonts w:eastAsia="Times New Roman" w:cs="Arial"/>
          <w:sz w:val="24"/>
          <w:szCs w:val="24"/>
          <w:lang w:eastAsia="en-CA"/>
        </w:rPr>
        <w:t xml:space="preserve"> </w:t>
      </w:r>
      <w:r w:rsidR="00E837C3" w:rsidRPr="000202DB">
        <w:rPr>
          <w:rFonts w:eastAsia="Times New Roman" w:cs="Arial"/>
          <w:sz w:val="24"/>
          <w:szCs w:val="24"/>
          <w:lang w:eastAsia="en-CA"/>
        </w:rPr>
        <w:t xml:space="preserve">strategies </w:t>
      </w:r>
      <w:r w:rsidR="5FA5CACD" w:rsidRPr="000202DB">
        <w:rPr>
          <w:rFonts w:eastAsia="Times New Roman" w:cs="Arial"/>
          <w:sz w:val="24"/>
          <w:szCs w:val="24"/>
          <w:lang w:eastAsia="en-CA"/>
        </w:rPr>
        <w:t>before</w:t>
      </w:r>
      <w:r w:rsidR="0F8939D4" w:rsidRPr="000202DB">
        <w:rPr>
          <w:rFonts w:eastAsia="Times New Roman" w:cs="Arial"/>
          <w:sz w:val="24"/>
          <w:szCs w:val="24"/>
          <w:lang w:eastAsia="en-CA"/>
        </w:rPr>
        <w:t xml:space="preserve"> </w:t>
      </w:r>
      <w:r w:rsidR="6010FC3E" w:rsidRPr="000202DB">
        <w:rPr>
          <w:rFonts w:eastAsia="Times New Roman" w:cs="Arial"/>
          <w:sz w:val="24"/>
          <w:szCs w:val="24"/>
          <w:lang w:eastAsia="en-CA"/>
        </w:rPr>
        <w:t>including</w:t>
      </w:r>
      <w:r w:rsidR="0F8939D4" w:rsidRPr="000202DB">
        <w:rPr>
          <w:rFonts w:eastAsia="Times New Roman" w:cs="Arial"/>
          <w:sz w:val="24"/>
          <w:szCs w:val="24"/>
          <w:lang w:eastAsia="en-CA"/>
        </w:rPr>
        <w:t xml:space="preserve"> the information in any procurement document or legal agreement</w:t>
      </w:r>
      <w:r w:rsidR="4694E2B5" w:rsidRPr="000202DB">
        <w:rPr>
          <w:rFonts w:eastAsia="Times New Roman" w:cs="Arial"/>
          <w:sz w:val="24"/>
          <w:szCs w:val="24"/>
          <w:lang w:eastAsia="en-CA"/>
        </w:rPr>
        <w:t xml:space="preserve">. </w:t>
      </w:r>
      <w:r w:rsidR="0F8939D4" w:rsidRPr="000202DB">
        <w:rPr>
          <w:rFonts w:eastAsia="Times New Roman" w:cs="Arial"/>
          <w:sz w:val="24"/>
          <w:szCs w:val="24"/>
          <w:lang w:eastAsia="en-CA"/>
        </w:rPr>
        <w:t xml:space="preserve">All questions on use or application of the </w:t>
      </w:r>
      <w:r w:rsidR="00E837C3" w:rsidRPr="000202DB">
        <w:rPr>
          <w:rFonts w:eastAsia="Times New Roman" w:cs="Arial"/>
          <w:sz w:val="24"/>
          <w:szCs w:val="24"/>
          <w:lang w:eastAsia="en-CA"/>
        </w:rPr>
        <w:t xml:space="preserve">strategies </w:t>
      </w:r>
      <w:r w:rsidR="0F8939D4" w:rsidRPr="000202DB">
        <w:rPr>
          <w:rFonts w:eastAsia="Times New Roman" w:cs="Arial"/>
          <w:sz w:val="24"/>
          <w:szCs w:val="24"/>
          <w:lang w:eastAsia="en-CA"/>
        </w:rPr>
        <w:t xml:space="preserve">to </w:t>
      </w:r>
      <w:r w:rsidR="00800585">
        <w:rPr>
          <w:rFonts w:eastAsia="Times New Roman" w:cs="Arial"/>
          <w:sz w:val="24"/>
          <w:szCs w:val="24"/>
          <w:lang w:eastAsia="en-CA"/>
        </w:rPr>
        <w:t>the</w:t>
      </w:r>
      <w:r w:rsidR="0F8939D4" w:rsidRPr="000202DB">
        <w:rPr>
          <w:rFonts w:eastAsia="Times New Roman" w:cs="Arial"/>
          <w:sz w:val="24"/>
          <w:szCs w:val="24"/>
          <w:lang w:eastAsia="en-CA"/>
        </w:rPr>
        <w:t xml:space="preserve"> </w:t>
      </w:r>
      <w:proofErr w:type="gramStart"/>
      <w:r w:rsidR="0F8939D4" w:rsidRPr="000202DB">
        <w:rPr>
          <w:rFonts w:eastAsia="Times New Roman" w:cs="Arial"/>
          <w:sz w:val="24"/>
          <w:szCs w:val="24"/>
          <w:lang w:eastAsia="en-CA"/>
        </w:rPr>
        <w:t>particular procurement</w:t>
      </w:r>
      <w:proofErr w:type="gramEnd"/>
      <w:r w:rsidR="0F8939D4" w:rsidRPr="000202DB">
        <w:rPr>
          <w:rFonts w:eastAsia="Times New Roman" w:cs="Arial"/>
          <w:sz w:val="24"/>
          <w:szCs w:val="24"/>
          <w:lang w:eastAsia="en-CA"/>
        </w:rPr>
        <w:t xml:space="preserve"> should be directed to </w:t>
      </w:r>
      <w:r w:rsidR="00800585">
        <w:rPr>
          <w:rFonts w:eastAsia="Times New Roman" w:cs="Arial"/>
          <w:sz w:val="24"/>
          <w:szCs w:val="24"/>
          <w:lang w:eastAsia="en-CA"/>
        </w:rPr>
        <w:t>the</w:t>
      </w:r>
      <w:r w:rsidR="0F8939D4" w:rsidRPr="000202DB">
        <w:rPr>
          <w:rFonts w:eastAsia="Times New Roman" w:cs="Arial"/>
          <w:sz w:val="24"/>
          <w:szCs w:val="24"/>
          <w:lang w:eastAsia="en-CA"/>
        </w:rPr>
        <w:t xml:space="preserve"> </w:t>
      </w:r>
      <w:r w:rsidR="7FB8805B" w:rsidRPr="000202DB">
        <w:rPr>
          <w:rFonts w:eastAsia="Times New Roman" w:cs="Arial"/>
          <w:sz w:val="24"/>
          <w:szCs w:val="24"/>
          <w:lang w:eastAsia="en-CA"/>
        </w:rPr>
        <w:t>m</w:t>
      </w:r>
      <w:r w:rsidR="0F8939D4" w:rsidRPr="000202DB">
        <w:rPr>
          <w:rFonts w:eastAsia="Times New Roman" w:cs="Arial"/>
          <w:sz w:val="24"/>
          <w:szCs w:val="24"/>
          <w:lang w:eastAsia="en-CA"/>
        </w:rPr>
        <w:t xml:space="preserve">inistry advisors </w:t>
      </w:r>
      <w:r w:rsidR="77EE7C9A" w:rsidRPr="000202DB">
        <w:rPr>
          <w:rFonts w:eastAsia="Times New Roman" w:cs="Arial"/>
          <w:sz w:val="24"/>
          <w:szCs w:val="24"/>
          <w:lang w:eastAsia="en-CA"/>
        </w:rPr>
        <w:t xml:space="preserve">or </w:t>
      </w:r>
      <w:hyperlink r:id="rId11" w:history="1">
        <w:r w:rsidR="0079689C" w:rsidRPr="000444F9">
          <w:rPr>
            <w:rStyle w:val="Hyperlink"/>
            <w:rFonts w:eastAsia="Times New Roman" w:cs="Arial"/>
            <w:sz w:val="24"/>
            <w:szCs w:val="24"/>
            <w:lang w:eastAsia="en-CA"/>
          </w:rPr>
          <w:t>doingbusiness@supplyontario.ca</w:t>
        </w:r>
      </w:hyperlink>
      <w:r w:rsidR="00185DA3" w:rsidRPr="000202DB">
        <w:rPr>
          <w:rFonts w:eastAsia="Times New Roman" w:cs="Arial"/>
          <w:sz w:val="24"/>
          <w:szCs w:val="24"/>
          <w:lang w:eastAsia="en-CA"/>
        </w:rPr>
        <w:t xml:space="preserve">. </w:t>
      </w:r>
      <w:r w:rsidR="0014030E" w:rsidRPr="000202DB">
        <w:rPr>
          <w:rFonts w:eastAsia="Times New Roman" w:cs="Arial"/>
          <w:sz w:val="24"/>
          <w:szCs w:val="24"/>
          <w:lang w:eastAsia="en-CA"/>
        </w:rPr>
        <w:t xml:space="preserve">In the event of </w:t>
      </w:r>
      <w:r w:rsidR="00A121F3" w:rsidRPr="000202DB">
        <w:rPr>
          <w:rFonts w:eastAsia="Times New Roman" w:cs="Arial"/>
          <w:sz w:val="24"/>
          <w:szCs w:val="24"/>
          <w:lang w:eastAsia="en-CA"/>
        </w:rPr>
        <w:t xml:space="preserve">an inconsistency between information in </w:t>
      </w:r>
      <w:r w:rsidR="005B7350">
        <w:rPr>
          <w:rFonts w:eastAsia="Times New Roman" w:cs="Arial"/>
          <w:sz w:val="24"/>
          <w:szCs w:val="24"/>
          <w:lang w:eastAsia="en-CA"/>
        </w:rPr>
        <w:t>this</w:t>
      </w:r>
      <w:r w:rsidR="005B7350" w:rsidRPr="000202DB">
        <w:rPr>
          <w:rFonts w:eastAsia="Times New Roman" w:cs="Arial"/>
          <w:sz w:val="24"/>
          <w:szCs w:val="24"/>
          <w:lang w:eastAsia="en-CA"/>
        </w:rPr>
        <w:t xml:space="preserve"> </w:t>
      </w:r>
      <w:r w:rsidR="00A121F3" w:rsidRPr="000202DB">
        <w:rPr>
          <w:rFonts w:eastAsia="Times New Roman" w:cs="Arial"/>
          <w:sz w:val="24"/>
          <w:szCs w:val="24"/>
          <w:lang w:eastAsia="en-CA"/>
        </w:rPr>
        <w:t xml:space="preserve">Guide and a provision in </w:t>
      </w:r>
      <w:r w:rsidR="0065075D">
        <w:rPr>
          <w:rFonts w:eastAsia="Times New Roman" w:cs="Arial"/>
          <w:sz w:val="24"/>
          <w:szCs w:val="24"/>
          <w:lang w:eastAsia="en-CA"/>
        </w:rPr>
        <w:t>a</w:t>
      </w:r>
      <w:r w:rsidR="0065075D" w:rsidRPr="000202DB">
        <w:rPr>
          <w:rFonts w:eastAsia="Times New Roman" w:cs="Arial"/>
          <w:sz w:val="24"/>
          <w:szCs w:val="24"/>
          <w:lang w:eastAsia="en-CA"/>
        </w:rPr>
        <w:t xml:space="preserve"> </w:t>
      </w:r>
      <w:r w:rsidR="00F45680">
        <w:rPr>
          <w:rFonts w:eastAsia="Times New Roman" w:cs="Arial"/>
          <w:sz w:val="24"/>
          <w:szCs w:val="24"/>
          <w:lang w:eastAsia="en-CA"/>
        </w:rPr>
        <w:t>procurement d</w:t>
      </w:r>
      <w:r w:rsidR="00F45680" w:rsidRPr="000202DB">
        <w:rPr>
          <w:rFonts w:eastAsia="Times New Roman" w:cs="Arial"/>
          <w:sz w:val="24"/>
          <w:szCs w:val="24"/>
          <w:lang w:eastAsia="en-CA"/>
        </w:rPr>
        <w:t>irective</w:t>
      </w:r>
      <w:r w:rsidR="00A121F3" w:rsidRPr="000202DB">
        <w:rPr>
          <w:rFonts w:eastAsia="Times New Roman" w:cs="Arial"/>
          <w:sz w:val="24"/>
          <w:szCs w:val="24"/>
          <w:lang w:eastAsia="en-CA"/>
        </w:rPr>
        <w:t xml:space="preserve">, the provision in the </w:t>
      </w:r>
      <w:r w:rsidR="0065075D">
        <w:rPr>
          <w:rFonts w:eastAsia="Times New Roman" w:cs="Arial"/>
          <w:sz w:val="24"/>
          <w:szCs w:val="24"/>
          <w:lang w:eastAsia="en-CA"/>
        </w:rPr>
        <w:t>applicable procurement d</w:t>
      </w:r>
      <w:r w:rsidR="00A121F3" w:rsidRPr="000202DB">
        <w:rPr>
          <w:rFonts w:eastAsia="Times New Roman" w:cs="Arial"/>
          <w:sz w:val="24"/>
          <w:szCs w:val="24"/>
          <w:lang w:eastAsia="en-CA"/>
        </w:rPr>
        <w:t>irective</w:t>
      </w:r>
      <w:r w:rsidR="00A121F3" w:rsidRPr="000202DB" w:rsidDel="0065075D">
        <w:rPr>
          <w:rFonts w:eastAsia="Times New Roman" w:cs="Arial"/>
          <w:sz w:val="24"/>
          <w:szCs w:val="24"/>
          <w:lang w:eastAsia="en-CA"/>
        </w:rPr>
        <w:t xml:space="preserve"> </w:t>
      </w:r>
      <w:r w:rsidR="00A121F3" w:rsidRPr="000202DB">
        <w:rPr>
          <w:rFonts w:eastAsia="Times New Roman" w:cs="Arial"/>
          <w:sz w:val="24"/>
          <w:szCs w:val="24"/>
          <w:lang w:eastAsia="en-CA"/>
        </w:rPr>
        <w:t>prevails.</w:t>
      </w:r>
    </w:p>
    <w:p w14:paraId="2EA19FFA" w14:textId="096368FE" w:rsidR="0080464D" w:rsidRPr="000202DB" w:rsidRDefault="0080464D" w:rsidP="00264B5C">
      <w:pPr>
        <w:spacing w:before="0" w:line="259" w:lineRule="auto"/>
        <w:rPr>
          <w:rFonts w:eastAsiaTheme="majorEastAsia" w:cstheme="majorBidi"/>
          <w:caps/>
          <w:smallCaps/>
          <w:szCs w:val="24"/>
          <w:lang w:eastAsia="en-CA"/>
        </w:rPr>
      </w:pPr>
      <w:r w:rsidRPr="000202DB">
        <w:rPr>
          <w:szCs w:val="24"/>
        </w:rPr>
        <w:br w:type="page"/>
      </w:r>
    </w:p>
    <w:p w14:paraId="269495DC" w14:textId="596F2246" w:rsidR="00140849" w:rsidRPr="003A1AC7" w:rsidRDefault="00140849" w:rsidP="003A1AC7">
      <w:pPr>
        <w:pStyle w:val="Heading1"/>
      </w:pPr>
      <w:bookmarkStart w:id="3" w:name="_Toc140237046"/>
      <w:bookmarkStart w:id="4" w:name="_Toc85441664"/>
      <w:bookmarkStart w:id="5" w:name="_Toc85441762"/>
      <w:bookmarkStart w:id="6" w:name="_Toc85441859"/>
      <w:bookmarkStart w:id="7" w:name="_Toc135389996"/>
      <w:bookmarkStart w:id="8" w:name="_Toc174975039"/>
      <w:bookmarkEnd w:id="3"/>
      <w:bookmarkEnd w:id="4"/>
      <w:bookmarkEnd w:id="5"/>
      <w:bookmarkEnd w:id="6"/>
      <w:bookmarkEnd w:id="7"/>
      <w:r w:rsidRPr="003A1AC7">
        <w:lastRenderedPageBreak/>
        <w:t>Purpose</w:t>
      </w:r>
      <w:bookmarkEnd w:id="8"/>
    </w:p>
    <w:p w14:paraId="06B2F2A6" w14:textId="06C6B11F" w:rsidR="005F0A04" w:rsidRPr="000202DB" w:rsidRDefault="005F0A04" w:rsidP="00994D08">
      <w:pPr>
        <w:spacing w:before="0" w:after="240"/>
        <w:rPr>
          <w:rFonts w:eastAsia="Times New Roman" w:cs="Arial"/>
          <w:szCs w:val="24"/>
          <w:lang w:eastAsia="en-CA"/>
        </w:rPr>
      </w:pPr>
      <w:r>
        <w:rPr>
          <w:rStyle w:val="ui-provider"/>
        </w:rPr>
        <w:t xml:space="preserve">The Building Ontario Businesses Initiative (BOBI) is a transformational province-wide program developed by the government to leverage the role public sector procurement can play in economic development. </w:t>
      </w:r>
      <w:r w:rsidRPr="000202DB">
        <w:rPr>
          <w:rFonts w:eastAsia="Times New Roman" w:cs="Arial"/>
          <w:szCs w:val="24"/>
          <w:lang w:eastAsia="en-CA"/>
        </w:rPr>
        <w:t xml:space="preserve">​BOBI creates a level playing field that reduces barriers and provides </w:t>
      </w:r>
      <w:r w:rsidR="00D05FC1" w:rsidRPr="000202DB">
        <w:rPr>
          <w:rFonts w:eastAsia="Times New Roman" w:cs="Arial"/>
          <w:szCs w:val="24"/>
          <w:lang w:eastAsia="en-CA"/>
        </w:rPr>
        <w:t xml:space="preserve">Ontario businesses with greater access to </w:t>
      </w:r>
      <w:r w:rsidRPr="000202DB">
        <w:rPr>
          <w:rFonts w:eastAsia="Times New Roman" w:cs="Arial"/>
          <w:szCs w:val="24"/>
          <w:lang w:eastAsia="en-CA"/>
        </w:rPr>
        <w:t>procurement opportunities</w:t>
      </w:r>
      <w:r>
        <w:rPr>
          <w:rFonts w:eastAsia="Times New Roman" w:cs="Arial"/>
          <w:szCs w:val="24"/>
          <w:lang w:eastAsia="en-CA"/>
        </w:rPr>
        <w:t>. The initiative</w:t>
      </w:r>
      <w:r w:rsidRPr="000202DB">
        <w:rPr>
          <w:rFonts w:eastAsia="Times New Roman" w:cs="Arial"/>
          <w:szCs w:val="24"/>
          <w:lang w:eastAsia="en-CA"/>
        </w:rPr>
        <w:t xml:space="preserve"> </w:t>
      </w:r>
      <w:r>
        <w:rPr>
          <w:rFonts w:eastAsia="Times New Roman" w:cs="Arial"/>
          <w:szCs w:val="24"/>
          <w:lang w:eastAsia="en-CA"/>
        </w:rPr>
        <w:t xml:space="preserve">provides the support for Ontario businesses to innovate and </w:t>
      </w:r>
      <w:r w:rsidRPr="000202DB">
        <w:rPr>
          <w:rFonts w:eastAsia="Times New Roman" w:cs="Arial"/>
          <w:szCs w:val="24"/>
          <w:lang w:eastAsia="en-CA"/>
        </w:rPr>
        <w:t>potentially create jobs in local communities; a</w:t>
      </w:r>
      <w:r>
        <w:rPr>
          <w:rFonts w:eastAsia="Times New Roman" w:cs="Arial"/>
          <w:szCs w:val="24"/>
          <w:lang w:eastAsia="en-CA"/>
        </w:rPr>
        <w:t xml:space="preserve">s well as </w:t>
      </w:r>
      <w:r w:rsidRPr="000202DB">
        <w:rPr>
          <w:rFonts w:eastAsia="Times New Roman" w:cs="Arial"/>
          <w:szCs w:val="24"/>
          <w:lang w:eastAsia="en-CA"/>
        </w:rPr>
        <w:t>strengthen Ontario’s supply chain resiliency so the province is prepared for any future emergencies.​</w:t>
      </w:r>
      <w:r>
        <w:rPr>
          <w:rFonts w:eastAsia="Times New Roman" w:cs="Arial"/>
          <w:szCs w:val="24"/>
          <w:lang w:eastAsia="en-CA"/>
        </w:rPr>
        <w:t xml:space="preserve"> BOBI is designed to allow the province to continue doing business with its trade partners while addressing the needs of the local economy.</w:t>
      </w:r>
    </w:p>
    <w:p w14:paraId="66B6DCE8" w14:textId="0F85940F" w:rsidR="00354B5E" w:rsidRPr="000202DB" w:rsidRDefault="0B9D3CBE" w:rsidP="00994D08">
      <w:pPr>
        <w:spacing w:before="0" w:after="240"/>
        <w:rPr>
          <w:rFonts w:eastAsia="Times New Roman" w:cs="Arial"/>
          <w:szCs w:val="24"/>
          <w:lang w:eastAsia="en-CA"/>
        </w:rPr>
      </w:pPr>
      <w:r w:rsidRPr="000202DB">
        <w:rPr>
          <w:rFonts w:eastAsia="Times New Roman" w:cs="Arial"/>
          <w:szCs w:val="24"/>
          <w:lang w:eastAsia="en-CA"/>
        </w:rPr>
        <w:t>This Guide is intended to provide</w:t>
      </w:r>
      <w:r w:rsidR="009B1948">
        <w:rPr>
          <w:rFonts w:eastAsia="Times New Roman" w:cs="Arial"/>
          <w:szCs w:val="24"/>
          <w:lang w:eastAsia="en-CA"/>
        </w:rPr>
        <w:t xml:space="preserve"> </w:t>
      </w:r>
      <w:r w:rsidR="000C0755">
        <w:rPr>
          <w:rFonts w:eastAsia="Times New Roman" w:cs="Arial"/>
          <w:szCs w:val="24"/>
          <w:lang w:eastAsia="en-CA"/>
        </w:rPr>
        <w:t xml:space="preserve">helpful </w:t>
      </w:r>
      <w:r w:rsidR="00E05B77">
        <w:rPr>
          <w:rFonts w:eastAsia="Times New Roman" w:cs="Arial"/>
          <w:szCs w:val="24"/>
          <w:lang w:eastAsia="en-CA"/>
        </w:rPr>
        <w:t>direction</w:t>
      </w:r>
      <w:r w:rsidRPr="000202DB">
        <w:rPr>
          <w:rFonts w:eastAsia="Times New Roman" w:cs="Arial"/>
          <w:szCs w:val="24"/>
          <w:lang w:eastAsia="en-CA"/>
        </w:rPr>
        <w:t xml:space="preserve"> to buyers on how to apply</w:t>
      </w:r>
      <w:r w:rsidR="6A9C484D" w:rsidRPr="000202DB">
        <w:rPr>
          <w:rFonts w:eastAsia="Times New Roman" w:cs="Arial"/>
          <w:szCs w:val="24"/>
          <w:lang w:eastAsia="en-CA"/>
        </w:rPr>
        <w:t xml:space="preserve"> the</w:t>
      </w:r>
      <w:r w:rsidRPr="000202DB">
        <w:rPr>
          <w:rFonts w:eastAsia="Times New Roman" w:cs="Arial"/>
          <w:szCs w:val="24"/>
          <w:lang w:eastAsia="en-CA"/>
        </w:rPr>
        <w:t xml:space="preserve"> </w:t>
      </w:r>
      <w:r w:rsidR="6A9C484D" w:rsidRPr="000202DB">
        <w:rPr>
          <w:rFonts w:eastAsia="Times New Roman" w:cs="Arial"/>
          <w:szCs w:val="24"/>
          <w:lang w:eastAsia="en-CA"/>
        </w:rPr>
        <w:t>strategies</w:t>
      </w:r>
      <w:r w:rsidRPr="000202DB">
        <w:rPr>
          <w:rFonts w:eastAsia="Times New Roman" w:cs="Arial"/>
          <w:szCs w:val="24"/>
          <w:lang w:eastAsia="en-CA"/>
        </w:rPr>
        <w:t xml:space="preserve"> under BOBI into procurement decisions and processes</w:t>
      </w:r>
      <w:r w:rsidR="6A9C484D" w:rsidRPr="000202DB">
        <w:rPr>
          <w:rFonts w:eastAsia="Times New Roman" w:cs="Arial"/>
          <w:szCs w:val="24"/>
          <w:lang w:eastAsia="en-CA"/>
        </w:rPr>
        <w:t xml:space="preserve">, as required in the </w:t>
      </w:r>
      <w:r w:rsidR="234F190F" w:rsidRPr="000202DB">
        <w:rPr>
          <w:rFonts w:eastAsia="Times New Roman" w:cs="Arial"/>
          <w:szCs w:val="24"/>
          <w:lang w:eastAsia="en-CA"/>
        </w:rPr>
        <w:t xml:space="preserve">Ontario Public Service </w:t>
      </w:r>
      <w:r w:rsidR="6A9C484D" w:rsidRPr="000202DB">
        <w:rPr>
          <w:rFonts w:eastAsia="Times New Roman" w:cs="Arial"/>
          <w:szCs w:val="24"/>
          <w:lang w:eastAsia="en-CA"/>
        </w:rPr>
        <w:t xml:space="preserve">(OPS) Procurement Directive </w:t>
      </w:r>
      <w:r w:rsidR="234F190F" w:rsidRPr="000202DB">
        <w:rPr>
          <w:rFonts w:eastAsia="Times New Roman" w:cs="Arial"/>
          <w:szCs w:val="24"/>
          <w:lang w:eastAsia="en-CA"/>
        </w:rPr>
        <w:t>and the Broader Public Sector (BPS) Procurement Directive</w:t>
      </w:r>
      <w:r w:rsidR="6A9C484D" w:rsidRPr="000202DB">
        <w:rPr>
          <w:rFonts w:eastAsia="Times New Roman" w:cs="Arial"/>
          <w:szCs w:val="24"/>
          <w:lang w:eastAsia="en-CA"/>
        </w:rPr>
        <w:t>. Both directives h</w:t>
      </w:r>
      <w:r w:rsidR="6E97B197" w:rsidRPr="000202DB">
        <w:rPr>
          <w:rFonts w:eastAsia="Times New Roman" w:cs="Arial"/>
          <w:szCs w:val="24"/>
          <w:lang w:eastAsia="en-CA"/>
        </w:rPr>
        <w:t xml:space="preserve">ave been </w:t>
      </w:r>
      <w:r w:rsidR="03196FA3" w:rsidRPr="000202DB">
        <w:rPr>
          <w:rFonts w:eastAsia="Times New Roman" w:cs="Arial"/>
          <w:szCs w:val="24"/>
          <w:lang w:eastAsia="en-CA"/>
        </w:rPr>
        <w:t xml:space="preserve">updated </w:t>
      </w:r>
      <w:r w:rsidR="234F190F" w:rsidRPr="000202DB">
        <w:rPr>
          <w:rFonts w:eastAsia="Times New Roman" w:cs="Arial"/>
          <w:szCs w:val="24"/>
          <w:lang w:eastAsia="en-CA"/>
        </w:rPr>
        <w:t xml:space="preserve">to enable </w:t>
      </w:r>
      <w:r w:rsidR="6E97B197" w:rsidRPr="000202DB">
        <w:rPr>
          <w:rFonts w:eastAsia="Times New Roman" w:cs="Arial"/>
          <w:szCs w:val="24"/>
          <w:lang w:eastAsia="en-CA"/>
        </w:rPr>
        <w:t xml:space="preserve">the new </w:t>
      </w:r>
      <w:r w:rsidR="005913AC" w:rsidRPr="000202DB">
        <w:rPr>
          <w:rFonts w:eastAsia="Times New Roman" w:cs="Arial"/>
          <w:szCs w:val="24"/>
          <w:lang w:eastAsia="en-CA"/>
        </w:rPr>
        <w:t>strategies</w:t>
      </w:r>
      <w:r w:rsidR="208CF040" w:rsidRPr="000202DB">
        <w:rPr>
          <w:rFonts w:eastAsia="Times New Roman" w:cs="Arial"/>
          <w:szCs w:val="24"/>
          <w:lang w:eastAsia="en-CA"/>
        </w:rPr>
        <w:t xml:space="preserve">. </w:t>
      </w:r>
    </w:p>
    <w:p w14:paraId="49A6D084" w14:textId="1A19B042" w:rsidR="00E50E81" w:rsidRPr="000202DB" w:rsidRDefault="00F753BC" w:rsidP="00994D08">
      <w:pPr>
        <w:spacing w:before="0" w:after="240"/>
        <w:rPr>
          <w:szCs w:val="24"/>
        </w:rPr>
      </w:pPr>
      <w:r>
        <w:rPr>
          <w:szCs w:val="24"/>
        </w:rPr>
        <w:t>The steps in the procurement process remain unchanged</w:t>
      </w:r>
      <w:r w:rsidR="007F20B3">
        <w:rPr>
          <w:szCs w:val="24"/>
        </w:rPr>
        <w:t xml:space="preserve"> while incorporating the BOBI requirements. </w:t>
      </w:r>
      <w:r w:rsidR="00E50E81" w:rsidRPr="000202DB">
        <w:rPr>
          <w:szCs w:val="24"/>
        </w:rPr>
        <w:t xml:space="preserve">Users should </w:t>
      </w:r>
      <w:r w:rsidR="006E5F14" w:rsidRPr="000202DB">
        <w:rPr>
          <w:szCs w:val="24"/>
        </w:rPr>
        <w:t xml:space="preserve">continue using </w:t>
      </w:r>
      <w:r w:rsidR="00E50E81" w:rsidRPr="000202DB">
        <w:rPr>
          <w:szCs w:val="24"/>
        </w:rPr>
        <w:t>existing foundational tools, guidance materials and the applicable procurement directive to navigate the overall procurement process.</w:t>
      </w:r>
    </w:p>
    <w:p w14:paraId="64DA3E5F" w14:textId="587B140F" w:rsidR="009B1948" w:rsidRPr="000202DB" w:rsidRDefault="009B1948" w:rsidP="003A1AC7">
      <w:pPr>
        <w:pStyle w:val="Heading1"/>
      </w:pPr>
      <w:bookmarkStart w:id="9" w:name="_Toc174975040"/>
      <w:r w:rsidRPr="000202DB">
        <w:t>Application and Scope</w:t>
      </w:r>
      <w:bookmarkEnd w:id="9"/>
    </w:p>
    <w:p w14:paraId="7C3050CC" w14:textId="77777777" w:rsidR="00994D08" w:rsidRPr="00994D08" w:rsidRDefault="005E7611" w:rsidP="006F3345">
      <w:pPr>
        <w:pStyle w:val="Heading2"/>
        <w:rPr>
          <w:lang w:eastAsia="en-CA"/>
        </w:rPr>
      </w:pPr>
      <w:bookmarkStart w:id="10" w:name="_Toc174975041"/>
      <w:r w:rsidRPr="00994D08">
        <w:rPr>
          <w:lang w:eastAsia="en-CA"/>
        </w:rPr>
        <w:t xml:space="preserve">The </w:t>
      </w:r>
      <w:r w:rsidR="00F560C7" w:rsidRPr="00994D08">
        <w:rPr>
          <w:lang w:eastAsia="en-CA"/>
        </w:rPr>
        <w:t>BOBI requirement</w:t>
      </w:r>
      <w:r w:rsidR="00341665" w:rsidRPr="00994D08">
        <w:rPr>
          <w:lang w:eastAsia="en-CA"/>
        </w:rPr>
        <w:t>s</w:t>
      </w:r>
      <w:r w:rsidR="00F560C7" w:rsidRPr="00994D08">
        <w:rPr>
          <w:lang w:eastAsia="en-CA"/>
        </w:rPr>
        <w:t xml:space="preserve"> </w:t>
      </w:r>
      <w:r w:rsidRPr="00994D08">
        <w:rPr>
          <w:lang w:eastAsia="en-CA"/>
        </w:rPr>
        <w:t>appl</w:t>
      </w:r>
      <w:r w:rsidR="00341665" w:rsidRPr="00994D08">
        <w:rPr>
          <w:lang w:eastAsia="en-CA"/>
        </w:rPr>
        <w:t>y</w:t>
      </w:r>
      <w:r w:rsidRPr="00994D08">
        <w:rPr>
          <w:lang w:eastAsia="en-CA"/>
        </w:rPr>
        <w:t xml:space="preserve"> to</w:t>
      </w:r>
      <w:r w:rsidR="00744028" w:rsidRPr="00994D08">
        <w:rPr>
          <w:lang w:eastAsia="en-CA"/>
        </w:rPr>
        <w:t>:</w:t>
      </w:r>
      <w:bookmarkEnd w:id="10"/>
      <w:r w:rsidRPr="00994D08">
        <w:rPr>
          <w:lang w:eastAsia="en-CA"/>
        </w:rPr>
        <w:t xml:space="preserve"> </w:t>
      </w:r>
    </w:p>
    <w:p w14:paraId="0917C276" w14:textId="75133049" w:rsidR="001D21B9" w:rsidRPr="00994D08" w:rsidRDefault="001D21B9" w:rsidP="00994D08">
      <w:pPr>
        <w:spacing w:before="120" w:after="240"/>
        <w:rPr>
          <w:rFonts w:eastAsia="Times New Roman"/>
          <w:b/>
          <w:bCs/>
          <w:lang w:eastAsia="en-CA"/>
        </w:rPr>
      </w:pPr>
      <w:r w:rsidRPr="00994D08">
        <w:rPr>
          <w:rFonts w:eastAsia="Times New Roman"/>
          <w:b/>
          <w:bCs/>
          <w:lang w:eastAsia="en-CA"/>
        </w:rPr>
        <w:t>Ontario Public Service (OPS)</w:t>
      </w:r>
    </w:p>
    <w:p w14:paraId="6AAD3AEF" w14:textId="77777777" w:rsidR="00F353B3" w:rsidRPr="00994D08" w:rsidRDefault="62D1F861" w:rsidP="00D255AC">
      <w:pPr>
        <w:pStyle w:val="ListParagraph"/>
        <w:numPr>
          <w:ilvl w:val="0"/>
          <w:numId w:val="44"/>
        </w:numPr>
        <w:spacing w:before="120" w:after="240"/>
        <w:rPr>
          <w:rFonts w:eastAsia="Times New Roman" w:cs="Arial"/>
          <w:szCs w:val="24"/>
          <w:lang w:eastAsia="en-CA"/>
        </w:rPr>
      </w:pPr>
      <w:r w:rsidRPr="00994D08">
        <w:rPr>
          <w:rFonts w:eastAsia="Times New Roman" w:cs="Arial"/>
          <w:szCs w:val="24"/>
          <w:lang w:eastAsia="en-CA"/>
        </w:rPr>
        <w:t xml:space="preserve">Ministries </w:t>
      </w:r>
    </w:p>
    <w:p w14:paraId="12BADDA3" w14:textId="77777777" w:rsidR="00F353B3" w:rsidRPr="00994D08" w:rsidRDefault="62D1F861" w:rsidP="00D255AC">
      <w:pPr>
        <w:pStyle w:val="ListParagraph"/>
        <w:numPr>
          <w:ilvl w:val="0"/>
          <w:numId w:val="44"/>
        </w:numPr>
        <w:spacing w:before="120" w:after="240"/>
        <w:rPr>
          <w:rFonts w:eastAsia="Times New Roman" w:cs="Arial"/>
          <w:szCs w:val="24"/>
          <w:lang w:eastAsia="en-CA"/>
        </w:rPr>
      </w:pPr>
      <w:r w:rsidRPr="00994D08">
        <w:rPr>
          <w:rFonts w:eastAsia="Times New Roman" w:cs="Arial"/>
          <w:szCs w:val="24"/>
          <w:lang w:eastAsia="en-CA"/>
        </w:rPr>
        <w:t>Provincial agencies</w:t>
      </w:r>
    </w:p>
    <w:p w14:paraId="10C431F7" w14:textId="77777777" w:rsidR="00F353B3" w:rsidRPr="00994D08" w:rsidRDefault="62D1F861" w:rsidP="00D255AC">
      <w:pPr>
        <w:pStyle w:val="ListParagraph"/>
        <w:numPr>
          <w:ilvl w:val="0"/>
          <w:numId w:val="44"/>
        </w:numPr>
        <w:spacing w:before="120" w:after="240"/>
        <w:rPr>
          <w:rFonts w:eastAsia="Times New Roman" w:cs="Arial"/>
          <w:szCs w:val="24"/>
          <w:lang w:eastAsia="en-CA"/>
        </w:rPr>
      </w:pPr>
      <w:r w:rsidRPr="00994D08">
        <w:rPr>
          <w:rFonts w:eastAsia="Times New Roman" w:cs="Arial"/>
          <w:szCs w:val="24"/>
          <w:lang w:eastAsia="en-CA"/>
        </w:rPr>
        <w:t>Ontario Power Generation</w:t>
      </w:r>
    </w:p>
    <w:p w14:paraId="4C360973" w14:textId="069C8320" w:rsidR="001F76AD" w:rsidRPr="00994D08" w:rsidRDefault="62D1F861" w:rsidP="00D255AC">
      <w:pPr>
        <w:pStyle w:val="ListParagraph"/>
        <w:numPr>
          <w:ilvl w:val="0"/>
          <w:numId w:val="44"/>
        </w:numPr>
        <w:spacing w:before="120" w:after="240"/>
        <w:rPr>
          <w:rFonts w:eastAsia="Times New Roman"/>
          <w:lang w:eastAsia="en-CA"/>
        </w:rPr>
      </w:pPr>
      <w:r w:rsidRPr="00994D08">
        <w:rPr>
          <w:rFonts w:eastAsia="Times New Roman" w:cs="Arial"/>
          <w:szCs w:val="24"/>
          <w:lang w:eastAsia="en-CA"/>
        </w:rPr>
        <w:t>Independent Electricity System Operator</w:t>
      </w:r>
    </w:p>
    <w:p w14:paraId="5A3D9F92" w14:textId="4F640C3B" w:rsidR="0092144E" w:rsidRPr="003556B3" w:rsidRDefault="001D21B9" w:rsidP="00994D08">
      <w:pPr>
        <w:spacing w:before="120" w:after="240"/>
        <w:rPr>
          <w:rFonts w:eastAsia="Times New Roman"/>
          <w:b/>
          <w:bCs/>
          <w:lang w:eastAsia="en-CA"/>
        </w:rPr>
      </w:pPr>
      <w:r w:rsidRPr="003556B3">
        <w:rPr>
          <w:rFonts w:eastAsia="Times New Roman"/>
          <w:b/>
          <w:bCs/>
          <w:lang w:eastAsia="en-CA"/>
        </w:rPr>
        <w:t>Broader Public Sector (BPS)</w:t>
      </w:r>
    </w:p>
    <w:p w14:paraId="091F8440" w14:textId="77777777" w:rsidR="0092144E" w:rsidRPr="003556B3" w:rsidRDefault="3F1BA34A" w:rsidP="00D255AC">
      <w:pPr>
        <w:pStyle w:val="ListParagraph"/>
        <w:numPr>
          <w:ilvl w:val="0"/>
          <w:numId w:val="45"/>
        </w:numPr>
        <w:spacing w:before="120" w:after="240"/>
        <w:rPr>
          <w:rFonts w:eastAsia="Times New Roman" w:cs="Arial"/>
          <w:szCs w:val="24"/>
          <w:lang w:eastAsia="en-CA"/>
        </w:rPr>
      </w:pPr>
      <w:r w:rsidRPr="003556B3">
        <w:rPr>
          <w:rFonts w:eastAsia="Times New Roman" w:cs="Arial"/>
          <w:szCs w:val="24"/>
          <w:lang w:eastAsia="en-CA"/>
        </w:rPr>
        <w:lastRenderedPageBreak/>
        <w:t>Hospitals</w:t>
      </w:r>
    </w:p>
    <w:p w14:paraId="1921476C" w14:textId="77777777" w:rsidR="0092144E" w:rsidRPr="003556B3" w:rsidRDefault="3F1BA34A" w:rsidP="00D255AC">
      <w:pPr>
        <w:pStyle w:val="ListParagraph"/>
        <w:numPr>
          <w:ilvl w:val="0"/>
          <w:numId w:val="45"/>
        </w:numPr>
        <w:spacing w:before="120" w:after="240"/>
        <w:rPr>
          <w:rFonts w:eastAsia="Times New Roman" w:cs="Arial"/>
          <w:szCs w:val="24"/>
          <w:lang w:eastAsia="en-CA"/>
        </w:rPr>
      </w:pPr>
      <w:r w:rsidRPr="003556B3">
        <w:rPr>
          <w:rFonts w:eastAsia="Times New Roman" w:cs="Arial"/>
          <w:szCs w:val="24"/>
          <w:lang w:eastAsia="en-CA"/>
        </w:rPr>
        <w:t>School boards</w:t>
      </w:r>
    </w:p>
    <w:p w14:paraId="2CBDA83E" w14:textId="310D9D35" w:rsidR="0092144E" w:rsidRPr="003556B3" w:rsidRDefault="3F1BA34A" w:rsidP="00D255AC">
      <w:pPr>
        <w:pStyle w:val="ListParagraph"/>
        <w:numPr>
          <w:ilvl w:val="0"/>
          <w:numId w:val="45"/>
        </w:numPr>
        <w:spacing w:before="120" w:after="240"/>
        <w:rPr>
          <w:rFonts w:eastAsia="Times New Roman" w:cs="Arial"/>
          <w:szCs w:val="24"/>
          <w:lang w:eastAsia="en-CA"/>
        </w:rPr>
      </w:pPr>
      <w:r w:rsidRPr="003556B3">
        <w:rPr>
          <w:rFonts w:eastAsia="Times New Roman" w:cs="Arial"/>
          <w:szCs w:val="24"/>
          <w:lang w:eastAsia="en-CA"/>
        </w:rPr>
        <w:t>Colleges and universities</w:t>
      </w:r>
    </w:p>
    <w:p w14:paraId="36B71CC1" w14:textId="77777777" w:rsidR="0092144E" w:rsidRPr="003556B3" w:rsidRDefault="3F1BA34A" w:rsidP="00D255AC">
      <w:pPr>
        <w:pStyle w:val="ListParagraph"/>
        <w:numPr>
          <w:ilvl w:val="0"/>
          <w:numId w:val="45"/>
        </w:numPr>
        <w:spacing w:before="120" w:after="240"/>
        <w:rPr>
          <w:rFonts w:eastAsia="Times New Roman" w:cs="Arial"/>
          <w:szCs w:val="24"/>
          <w:lang w:eastAsia="en-CA"/>
        </w:rPr>
      </w:pPr>
      <w:r w:rsidRPr="003556B3">
        <w:rPr>
          <w:rFonts w:eastAsia="Times New Roman" w:cs="Arial"/>
          <w:szCs w:val="24"/>
          <w:lang w:eastAsia="en-CA"/>
        </w:rPr>
        <w:t>Children’s Aid Societies</w:t>
      </w:r>
    </w:p>
    <w:p w14:paraId="29D6F15B" w14:textId="45F7E54D" w:rsidR="0092144E" w:rsidRPr="003556B3" w:rsidRDefault="3F1BA34A" w:rsidP="00D255AC">
      <w:pPr>
        <w:pStyle w:val="ListParagraph"/>
        <w:numPr>
          <w:ilvl w:val="0"/>
          <w:numId w:val="45"/>
        </w:numPr>
        <w:spacing w:before="120" w:after="240"/>
        <w:rPr>
          <w:rFonts w:eastAsia="Times New Roman" w:cs="Arial"/>
          <w:szCs w:val="24"/>
          <w:lang w:eastAsia="en-CA"/>
        </w:rPr>
      </w:pPr>
      <w:r w:rsidRPr="003556B3">
        <w:rPr>
          <w:rFonts w:eastAsia="Times New Roman" w:cs="Arial"/>
          <w:szCs w:val="24"/>
          <w:lang w:eastAsia="en-CA"/>
        </w:rPr>
        <w:t xml:space="preserve">Shared </w:t>
      </w:r>
      <w:r w:rsidR="2E86838E" w:rsidRPr="003556B3">
        <w:rPr>
          <w:rFonts w:eastAsia="Times New Roman" w:cs="Arial"/>
          <w:szCs w:val="24"/>
          <w:lang w:eastAsia="en-CA"/>
        </w:rPr>
        <w:t>s</w:t>
      </w:r>
      <w:r w:rsidRPr="003556B3">
        <w:rPr>
          <w:rFonts w:eastAsia="Times New Roman" w:cs="Arial"/>
          <w:szCs w:val="24"/>
          <w:lang w:eastAsia="en-CA"/>
        </w:rPr>
        <w:t xml:space="preserve">ervices and group purchasing </w:t>
      </w:r>
      <w:r w:rsidR="2E86838E" w:rsidRPr="003556B3">
        <w:rPr>
          <w:rFonts w:eastAsia="Times New Roman" w:cs="Arial"/>
          <w:szCs w:val="24"/>
          <w:lang w:eastAsia="en-CA"/>
        </w:rPr>
        <w:t>o</w:t>
      </w:r>
      <w:r w:rsidRPr="003556B3">
        <w:rPr>
          <w:rFonts w:eastAsia="Times New Roman" w:cs="Arial"/>
          <w:szCs w:val="24"/>
          <w:lang w:eastAsia="en-CA"/>
        </w:rPr>
        <w:t>rganizations</w:t>
      </w:r>
      <w:r w:rsidR="00341665" w:rsidRPr="003556B3">
        <w:rPr>
          <w:rFonts w:eastAsia="Times New Roman" w:cs="Arial"/>
          <w:szCs w:val="24"/>
          <w:lang w:eastAsia="en-CA"/>
        </w:rPr>
        <w:t>.</w:t>
      </w:r>
    </w:p>
    <w:p w14:paraId="66063240" w14:textId="11EB5246" w:rsidR="00744028" w:rsidRPr="003556B3" w:rsidRDefault="0B6BB006" w:rsidP="00D255AC">
      <w:pPr>
        <w:pStyle w:val="ListParagraph"/>
        <w:numPr>
          <w:ilvl w:val="0"/>
          <w:numId w:val="45"/>
        </w:numPr>
        <w:spacing w:before="120" w:after="240"/>
        <w:rPr>
          <w:rFonts w:eastAsia="Times New Roman" w:cs="Arial"/>
          <w:szCs w:val="24"/>
          <w:lang w:eastAsia="en-CA"/>
        </w:rPr>
      </w:pPr>
      <w:r w:rsidRPr="003556B3">
        <w:rPr>
          <w:rFonts w:eastAsia="Times New Roman" w:cs="Arial"/>
          <w:szCs w:val="24"/>
          <w:lang w:eastAsia="en-CA"/>
        </w:rPr>
        <w:t>Publicly funded organizations that received public funds of $10 million or more in the previous fiscal year of the Government of Ontario.</w:t>
      </w:r>
    </w:p>
    <w:p w14:paraId="073E560A" w14:textId="6469EA85" w:rsidR="00445187" w:rsidRPr="003556B3" w:rsidRDefault="00445187" w:rsidP="006F3345">
      <w:pPr>
        <w:pStyle w:val="Heading2"/>
        <w:rPr>
          <w:lang w:eastAsia="en-CA"/>
        </w:rPr>
      </w:pPr>
      <w:bookmarkStart w:id="11" w:name="_Toc174975042"/>
      <w:r w:rsidRPr="003556B3">
        <w:rPr>
          <w:lang w:eastAsia="en-CA"/>
        </w:rPr>
        <w:t xml:space="preserve">What is </w:t>
      </w:r>
      <w:r w:rsidR="00D8607E" w:rsidRPr="003556B3">
        <w:rPr>
          <w:lang w:eastAsia="en-CA"/>
        </w:rPr>
        <w:t xml:space="preserve">in </w:t>
      </w:r>
      <w:r w:rsidRPr="003556B3">
        <w:rPr>
          <w:lang w:eastAsia="en-CA"/>
        </w:rPr>
        <w:t>scope?</w:t>
      </w:r>
      <w:bookmarkEnd w:id="11"/>
    </w:p>
    <w:p w14:paraId="4D41D1B1" w14:textId="4867A8E5" w:rsidR="00DA2936" w:rsidRPr="00994D08" w:rsidRDefault="00AB234D" w:rsidP="004335E6">
      <w:pPr>
        <w:spacing w:before="120" w:after="240"/>
        <w:rPr>
          <w:rFonts w:eastAsia="Times New Roman" w:cs="Arial"/>
          <w:szCs w:val="24"/>
          <w:lang w:eastAsia="en-CA"/>
        </w:rPr>
      </w:pPr>
      <w:r w:rsidRPr="000202DB">
        <w:rPr>
          <w:rFonts w:eastAsia="Times New Roman" w:cs="Arial"/>
          <w:szCs w:val="24"/>
          <w:lang w:eastAsia="en-CA"/>
        </w:rPr>
        <w:t>The</w:t>
      </w:r>
      <w:r>
        <w:rPr>
          <w:rFonts w:eastAsia="Times New Roman" w:cs="Arial"/>
          <w:szCs w:val="24"/>
          <w:lang w:eastAsia="en-CA"/>
        </w:rPr>
        <w:t xml:space="preserve"> </w:t>
      </w:r>
      <w:r w:rsidRPr="00994D08">
        <w:rPr>
          <w:rFonts w:eastAsia="Times New Roman"/>
          <w:lang w:eastAsia="en-CA"/>
        </w:rPr>
        <w:t>Building Ontario Businesses Initiative (</w:t>
      </w:r>
      <w:r w:rsidR="005151A7" w:rsidRPr="00994D08">
        <w:rPr>
          <w:rFonts w:eastAsia="Times New Roman"/>
          <w:lang w:eastAsia="en-CA"/>
        </w:rPr>
        <w:t>BOBI) applies</w:t>
      </w:r>
      <w:r w:rsidRPr="00994D08">
        <w:rPr>
          <w:rFonts w:eastAsia="Times New Roman" w:cs="Arial"/>
          <w:szCs w:val="24"/>
          <w:lang w:eastAsia="en-CA"/>
        </w:rPr>
        <w:t xml:space="preserve"> to all goods and services (consulting and non-consulting services</w:t>
      </w:r>
      <w:r w:rsidR="00954C2F" w:rsidRPr="00994D08">
        <w:rPr>
          <w:rFonts w:eastAsia="Times New Roman" w:cs="Arial"/>
          <w:szCs w:val="24"/>
          <w:lang w:eastAsia="en-CA"/>
        </w:rPr>
        <w:t>)</w:t>
      </w:r>
      <w:r w:rsidR="00DA2936" w:rsidRPr="00994D08">
        <w:rPr>
          <w:rFonts w:eastAsia="Times New Roman" w:cs="Arial"/>
          <w:szCs w:val="24"/>
          <w:lang w:eastAsia="en-CA"/>
        </w:rPr>
        <w:t xml:space="preserve"> except </w:t>
      </w:r>
      <w:r w:rsidR="00790C39" w:rsidRPr="00994D08">
        <w:rPr>
          <w:rFonts w:eastAsia="Times New Roman" w:cs="Arial"/>
          <w:szCs w:val="24"/>
          <w:lang w:eastAsia="en-CA"/>
        </w:rPr>
        <w:t xml:space="preserve">when procuring below </w:t>
      </w:r>
      <w:r w:rsidR="00DD44E2" w:rsidRPr="00994D08">
        <w:rPr>
          <w:rFonts w:eastAsia="Times New Roman" w:cs="Arial"/>
          <w:szCs w:val="24"/>
          <w:lang w:eastAsia="en-CA"/>
        </w:rPr>
        <w:t>$121,200</w:t>
      </w:r>
      <w:r w:rsidR="001A3CD9" w:rsidRPr="00994D08">
        <w:rPr>
          <w:rFonts w:eastAsia="Times New Roman" w:cs="Arial"/>
          <w:szCs w:val="24"/>
          <w:lang w:eastAsia="en-CA"/>
        </w:rPr>
        <w:t xml:space="preserve">, </w:t>
      </w:r>
      <w:r w:rsidR="00DD44E2" w:rsidRPr="00994D08">
        <w:rPr>
          <w:rFonts w:eastAsia="Times New Roman" w:cs="Arial"/>
          <w:szCs w:val="24"/>
          <w:lang w:eastAsia="en-CA"/>
        </w:rPr>
        <w:t xml:space="preserve">then the procurement of the following </w:t>
      </w:r>
      <w:r w:rsidR="00D92C41" w:rsidRPr="00994D08">
        <w:rPr>
          <w:rFonts w:eastAsia="Times New Roman" w:cs="Arial"/>
          <w:szCs w:val="24"/>
          <w:lang w:eastAsia="en-CA"/>
        </w:rPr>
        <w:t>is</w:t>
      </w:r>
      <w:r w:rsidR="00DD44E2" w:rsidRPr="00994D08">
        <w:rPr>
          <w:rFonts w:eastAsia="Times New Roman" w:cs="Arial"/>
          <w:szCs w:val="24"/>
          <w:lang w:eastAsia="en-CA"/>
        </w:rPr>
        <w:t xml:space="preserve"> out of scope</w:t>
      </w:r>
      <w:r w:rsidR="00DA2936" w:rsidRPr="00994D08">
        <w:rPr>
          <w:rFonts w:eastAsia="Times New Roman" w:cs="Arial"/>
          <w:szCs w:val="24"/>
          <w:lang w:eastAsia="en-CA"/>
        </w:rPr>
        <w:t>:</w:t>
      </w:r>
    </w:p>
    <w:p w14:paraId="71164A97" w14:textId="77777777" w:rsidR="00DA2936" w:rsidRPr="004C5589" w:rsidRDefault="00DA2936" w:rsidP="00D255AC">
      <w:pPr>
        <w:pStyle w:val="ListParagraph"/>
        <w:numPr>
          <w:ilvl w:val="0"/>
          <w:numId w:val="46"/>
        </w:numPr>
        <w:spacing w:before="120" w:after="240"/>
        <w:rPr>
          <w:rFonts w:eastAsia="Times New Roman" w:cs="Arial"/>
          <w:szCs w:val="24"/>
          <w:lang w:eastAsia="en-CA"/>
        </w:rPr>
      </w:pPr>
      <w:r w:rsidRPr="004C5589">
        <w:rPr>
          <w:rFonts w:eastAsia="Times New Roman" w:cs="Arial"/>
          <w:szCs w:val="24"/>
          <w:lang w:eastAsia="en-CA"/>
        </w:rPr>
        <w:t xml:space="preserve">Emergency procurements </w:t>
      </w:r>
    </w:p>
    <w:p w14:paraId="7F387425" w14:textId="38541D9E" w:rsidR="00DA2936" w:rsidRPr="004C5589" w:rsidRDefault="00DA2936" w:rsidP="00D255AC">
      <w:pPr>
        <w:pStyle w:val="ListParagraph"/>
        <w:numPr>
          <w:ilvl w:val="0"/>
          <w:numId w:val="46"/>
        </w:numPr>
        <w:spacing w:before="120" w:after="240"/>
        <w:rPr>
          <w:rFonts w:eastAsia="Times New Roman" w:cs="Arial"/>
          <w:szCs w:val="24"/>
          <w:lang w:eastAsia="en-CA"/>
        </w:rPr>
      </w:pPr>
      <w:r w:rsidRPr="004C5589">
        <w:rPr>
          <w:rFonts w:eastAsia="Times New Roman" w:cs="Arial"/>
          <w:szCs w:val="24"/>
          <w:lang w:eastAsia="en-CA"/>
        </w:rPr>
        <w:t>Procurements from any vendor of record arrangements (second stage)</w:t>
      </w:r>
    </w:p>
    <w:p w14:paraId="33CCA1DC" w14:textId="77777777" w:rsidR="00DA2936" w:rsidRPr="004C5589" w:rsidRDefault="00DA2936" w:rsidP="00D255AC">
      <w:pPr>
        <w:pStyle w:val="ListParagraph"/>
        <w:numPr>
          <w:ilvl w:val="0"/>
          <w:numId w:val="46"/>
        </w:numPr>
        <w:spacing w:before="120" w:after="240"/>
        <w:rPr>
          <w:rFonts w:eastAsia="Times New Roman" w:cs="Arial"/>
          <w:szCs w:val="24"/>
          <w:lang w:eastAsia="en-CA"/>
        </w:rPr>
      </w:pPr>
      <w:r w:rsidRPr="004C5589">
        <w:rPr>
          <w:rFonts w:eastAsia="Times New Roman" w:cs="Arial"/>
          <w:szCs w:val="24"/>
          <w:lang w:eastAsia="en-CA"/>
        </w:rPr>
        <w:t xml:space="preserve">Goods or services procured for commercial sale or resale or for use in production of a good or service intended for commercial sale or resale. </w:t>
      </w:r>
    </w:p>
    <w:p w14:paraId="4C6A367C" w14:textId="77777777" w:rsidR="00DA2936" w:rsidRPr="004C5589" w:rsidRDefault="00DA2936" w:rsidP="00D255AC">
      <w:pPr>
        <w:pStyle w:val="ListParagraph"/>
        <w:numPr>
          <w:ilvl w:val="0"/>
          <w:numId w:val="46"/>
        </w:numPr>
        <w:spacing w:before="120" w:after="240"/>
        <w:rPr>
          <w:rFonts w:eastAsia="Times New Roman" w:cs="Arial"/>
          <w:szCs w:val="24"/>
          <w:lang w:eastAsia="en-CA"/>
        </w:rPr>
      </w:pPr>
      <w:r w:rsidRPr="004C5589">
        <w:rPr>
          <w:rFonts w:eastAsia="Times New Roman" w:cs="Arial"/>
          <w:szCs w:val="24"/>
          <w:lang w:eastAsia="en-CA"/>
        </w:rPr>
        <w:t xml:space="preserve">Services of a lawyer, paralegal or notary public </w:t>
      </w:r>
    </w:p>
    <w:p w14:paraId="21B90A6A" w14:textId="77777777" w:rsidR="00DA2936" w:rsidRPr="004C5589" w:rsidRDefault="00DA2936" w:rsidP="00D255AC">
      <w:pPr>
        <w:pStyle w:val="ListParagraph"/>
        <w:numPr>
          <w:ilvl w:val="0"/>
          <w:numId w:val="46"/>
        </w:numPr>
        <w:spacing w:before="120" w:after="240"/>
        <w:rPr>
          <w:rFonts w:eastAsia="Times New Roman" w:cs="Arial"/>
          <w:szCs w:val="24"/>
          <w:lang w:eastAsia="en-CA"/>
        </w:rPr>
      </w:pPr>
      <w:r w:rsidRPr="004C5589">
        <w:rPr>
          <w:rFonts w:eastAsia="Times New Roman" w:cs="Arial"/>
          <w:szCs w:val="24"/>
          <w:lang w:eastAsia="en-CA"/>
        </w:rPr>
        <w:t xml:space="preserve">Services of an expert witness to be used in a court or legal proceeding. </w:t>
      </w:r>
    </w:p>
    <w:p w14:paraId="52D15667" w14:textId="77777777" w:rsidR="00DA2936" w:rsidRPr="004C5589" w:rsidRDefault="00DA2936" w:rsidP="00D255AC">
      <w:pPr>
        <w:pStyle w:val="ListParagraph"/>
        <w:numPr>
          <w:ilvl w:val="0"/>
          <w:numId w:val="46"/>
        </w:numPr>
        <w:spacing w:before="120" w:after="240"/>
        <w:rPr>
          <w:rFonts w:eastAsia="Times New Roman" w:cs="Arial"/>
          <w:szCs w:val="24"/>
          <w:lang w:eastAsia="en-CA"/>
        </w:rPr>
      </w:pPr>
      <w:r w:rsidRPr="004C5589">
        <w:rPr>
          <w:rFonts w:eastAsia="Times New Roman" w:cs="Arial"/>
          <w:szCs w:val="24"/>
          <w:lang w:eastAsia="en-CA"/>
        </w:rPr>
        <w:t>A good or service that is not available from an Ontario business.</w:t>
      </w:r>
    </w:p>
    <w:p w14:paraId="10AC9AF9" w14:textId="5C232010" w:rsidR="000E22C7" w:rsidRPr="000202DB" w:rsidRDefault="000E22C7" w:rsidP="003A1AC7">
      <w:pPr>
        <w:pStyle w:val="Heading1"/>
      </w:pPr>
      <w:bookmarkStart w:id="12" w:name="_Toc174975043"/>
      <w:bookmarkStart w:id="13" w:name="Definition"/>
      <w:r>
        <w:t>Key Definitions</w:t>
      </w:r>
      <w:bookmarkEnd w:id="12"/>
    </w:p>
    <w:bookmarkEnd w:id="13"/>
    <w:p w14:paraId="0DDF6E65" w14:textId="39BADAE0" w:rsidR="00BB6C9F" w:rsidRPr="00BC60A2" w:rsidRDefault="00C12261" w:rsidP="004335E6">
      <w:pPr>
        <w:spacing w:before="120" w:after="240"/>
        <w:rPr>
          <w:rFonts w:eastAsia="Times New Roman" w:cs="Arial"/>
          <w:szCs w:val="24"/>
          <w:lang w:eastAsia="en-CA"/>
        </w:rPr>
      </w:pPr>
      <w:r w:rsidRPr="004335E6">
        <w:rPr>
          <w:rFonts w:eastAsia="Times New Roman" w:cs="Arial"/>
          <w:b/>
          <w:bCs/>
          <w:szCs w:val="24"/>
          <w:lang w:eastAsia="en-CA"/>
        </w:rPr>
        <w:t>Note:</w:t>
      </w:r>
      <w:r w:rsidRPr="004335E6">
        <w:rPr>
          <w:rFonts w:eastAsia="Times New Roman" w:cs="Arial"/>
          <w:szCs w:val="24"/>
          <w:lang w:eastAsia="en-CA"/>
        </w:rPr>
        <w:t xml:space="preserve"> I</w:t>
      </w:r>
      <w:r w:rsidR="00AB234D" w:rsidRPr="004335E6">
        <w:rPr>
          <w:rFonts w:eastAsia="Times New Roman" w:cs="Arial"/>
          <w:szCs w:val="24"/>
          <w:lang w:eastAsia="en-CA"/>
        </w:rPr>
        <w:t>f there is a conflict between the Economic Growth Measure, Appendix B of the procurement directive and legislation, the legislation prevails</w:t>
      </w:r>
      <w:r w:rsidR="00D64D50" w:rsidRPr="004335E6">
        <w:rPr>
          <w:rFonts w:eastAsia="Times New Roman" w:cs="Arial"/>
          <w:szCs w:val="24"/>
          <w:lang w:eastAsia="en-CA"/>
        </w:rPr>
        <w:t>.</w:t>
      </w:r>
    </w:p>
    <w:p w14:paraId="4436CCA2" w14:textId="758ED010" w:rsidR="00000614" w:rsidRDefault="00673D93" w:rsidP="00264B5C">
      <w:pPr>
        <w:spacing w:after="0" w:line="240" w:lineRule="auto"/>
        <w:jc w:val="both"/>
      </w:pPr>
      <w:r w:rsidRPr="000202DB">
        <w:rPr>
          <w:rFonts w:eastAsia="Times New Roman" w:cs="Arial"/>
          <w:b/>
          <w:bCs/>
          <w:lang w:eastAsia="en-CA"/>
        </w:rPr>
        <w:t>“Canadian Bus</w:t>
      </w:r>
      <w:r w:rsidR="00095C89" w:rsidRPr="000202DB">
        <w:rPr>
          <w:rFonts w:eastAsia="Times New Roman" w:cs="Arial"/>
          <w:b/>
          <w:bCs/>
          <w:lang w:eastAsia="en-CA"/>
        </w:rPr>
        <w:t xml:space="preserve">iness” </w:t>
      </w:r>
      <w:r w:rsidR="00693D2F" w:rsidRPr="000202DB">
        <w:rPr>
          <w:rFonts w:eastAsia="Times New Roman" w:cs="Arial"/>
          <w:lang w:eastAsia="en-CA"/>
        </w:rPr>
        <w:t xml:space="preserve">means </w:t>
      </w:r>
      <w:r w:rsidR="00693D2F">
        <w:t>a</w:t>
      </w:r>
      <w:r w:rsidR="00000614">
        <w:t xml:space="preserve"> supplier, manufacturer or distributor of any business structure that conducts its activities on a permanent basis in Canada. The business either</w:t>
      </w:r>
      <w:r w:rsidR="783C3BAA">
        <w:t>:</w:t>
      </w:r>
    </w:p>
    <w:p w14:paraId="31AD07FC" w14:textId="77777777" w:rsidR="00000614" w:rsidRPr="000C2A60" w:rsidRDefault="00000614" w:rsidP="00D255AC">
      <w:pPr>
        <w:pStyle w:val="ListParagraph"/>
        <w:numPr>
          <w:ilvl w:val="0"/>
          <w:numId w:val="47"/>
        </w:numPr>
        <w:spacing w:before="120" w:after="240"/>
        <w:rPr>
          <w:rFonts w:eastAsia="Times New Roman" w:cs="Arial"/>
          <w:szCs w:val="24"/>
          <w:lang w:eastAsia="en-CA"/>
        </w:rPr>
      </w:pPr>
      <w:r w:rsidRPr="000C2A60">
        <w:rPr>
          <w:rFonts w:eastAsia="Times New Roman" w:cs="Arial"/>
          <w:szCs w:val="24"/>
          <w:lang w:eastAsia="en-CA"/>
        </w:rPr>
        <w:t xml:space="preserve">has its headquarters or main office in any province or territory within Canada, or </w:t>
      </w:r>
    </w:p>
    <w:p w14:paraId="56180E3C" w14:textId="77777777" w:rsidR="00000614" w:rsidRPr="000C2A60" w:rsidRDefault="00000614" w:rsidP="00D255AC">
      <w:pPr>
        <w:pStyle w:val="ListParagraph"/>
        <w:numPr>
          <w:ilvl w:val="0"/>
          <w:numId w:val="47"/>
        </w:numPr>
        <w:spacing w:before="120" w:after="240"/>
        <w:rPr>
          <w:rFonts w:eastAsia="Times New Roman" w:cs="Arial"/>
          <w:szCs w:val="24"/>
          <w:lang w:eastAsia="en-CA"/>
        </w:rPr>
      </w:pPr>
      <w:r w:rsidRPr="000C2A60">
        <w:rPr>
          <w:rFonts w:eastAsia="Times New Roman" w:cs="Arial"/>
          <w:szCs w:val="24"/>
          <w:lang w:eastAsia="en-CA"/>
        </w:rPr>
        <w:t>has at least 250 full-time employees in any one province or territory within Canada at the time of the applicable procurement process.</w:t>
      </w:r>
    </w:p>
    <w:p w14:paraId="52E2B4DB" w14:textId="425709ED" w:rsidR="00FF2D63" w:rsidRPr="00C6166C" w:rsidRDefault="002D1040" w:rsidP="00264B5C">
      <w:pPr>
        <w:rPr>
          <w:rFonts w:cstheme="minorHAnsi"/>
          <w:szCs w:val="24"/>
        </w:rPr>
      </w:pPr>
      <w:r w:rsidRPr="000202DB">
        <w:rPr>
          <w:rFonts w:eastAsia="Times New Roman" w:cs="Arial"/>
          <w:b/>
          <w:bCs/>
          <w:lang w:eastAsia="en-CA"/>
        </w:rPr>
        <w:lastRenderedPageBreak/>
        <w:t xml:space="preserve">“Ontario </w:t>
      </w:r>
      <w:r w:rsidR="005916B0" w:rsidRPr="000202DB">
        <w:rPr>
          <w:rFonts w:eastAsia="Times New Roman" w:cs="Arial"/>
          <w:b/>
          <w:bCs/>
          <w:lang w:eastAsia="en-CA"/>
        </w:rPr>
        <w:t xml:space="preserve">Business” </w:t>
      </w:r>
      <w:r w:rsidR="005916B0" w:rsidRPr="000202DB">
        <w:rPr>
          <w:rFonts w:eastAsia="Times New Roman" w:cs="Arial"/>
          <w:lang w:eastAsia="en-CA"/>
        </w:rPr>
        <w:t>means</w:t>
      </w:r>
      <w:r w:rsidR="00B3256B">
        <w:rPr>
          <w:rFonts w:eastAsia="Times New Roman" w:cs="Arial"/>
          <w:lang w:eastAsia="en-CA"/>
        </w:rPr>
        <w:t xml:space="preserve"> </w:t>
      </w:r>
      <w:r w:rsidR="00FF2D63" w:rsidRPr="00C6166C">
        <w:rPr>
          <w:rFonts w:cstheme="minorHAnsi"/>
          <w:szCs w:val="24"/>
        </w:rPr>
        <w:t>a supplier, manufacturer or distributor of any business structure that conducts its activities on a permanent basis in Ontario. The business either,</w:t>
      </w:r>
    </w:p>
    <w:p w14:paraId="5E4126C6" w14:textId="77777777" w:rsidR="00FF2D63" w:rsidRPr="00F60EB4" w:rsidRDefault="00FF2D63" w:rsidP="00D255AC">
      <w:pPr>
        <w:pStyle w:val="ListParagraph"/>
        <w:numPr>
          <w:ilvl w:val="0"/>
          <w:numId w:val="47"/>
        </w:numPr>
        <w:spacing w:before="120" w:after="240"/>
        <w:rPr>
          <w:rFonts w:eastAsia="Times New Roman" w:cs="Arial"/>
          <w:szCs w:val="24"/>
          <w:lang w:eastAsia="en-CA"/>
        </w:rPr>
      </w:pPr>
      <w:r w:rsidRPr="00F60EB4">
        <w:rPr>
          <w:rFonts w:eastAsia="Times New Roman" w:cs="Arial"/>
          <w:szCs w:val="24"/>
          <w:lang w:eastAsia="en-CA"/>
        </w:rPr>
        <w:t>has its headquarters or main office in Ontario, or</w:t>
      </w:r>
    </w:p>
    <w:p w14:paraId="04796561" w14:textId="77777777" w:rsidR="00FF2D63" w:rsidRPr="00F60EB4" w:rsidRDefault="00FF2D63" w:rsidP="00D255AC">
      <w:pPr>
        <w:pStyle w:val="ListParagraph"/>
        <w:numPr>
          <w:ilvl w:val="0"/>
          <w:numId w:val="47"/>
        </w:numPr>
        <w:spacing w:before="120" w:after="240"/>
        <w:rPr>
          <w:rFonts w:eastAsia="Times New Roman" w:cs="Arial"/>
          <w:szCs w:val="24"/>
          <w:lang w:eastAsia="en-CA"/>
        </w:rPr>
      </w:pPr>
      <w:r w:rsidRPr="00F60EB4">
        <w:rPr>
          <w:rFonts w:eastAsia="Times New Roman" w:cs="Arial"/>
          <w:szCs w:val="24"/>
          <w:lang w:eastAsia="en-CA"/>
        </w:rPr>
        <w:t>has at least 250 full-time employees in Ontario at the time of the applicable procurement process.</w:t>
      </w:r>
    </w:p>
    <w:p w14:paraId="44C69AB1" w14:textId="7B1C4D53" w:rsidR="00B87F49" w:rsidRDefault="54BFF152" w:rsidP="00BC679E">
      <w:pPr>
        <w:spacing w:after="240" w:line="240" w:lineRule="auto"/>
        <w:rPr>
          <w:rFonts w:eastAsia="Raleway" w:cs="Raleway"/>
          <w:lang w:val="en-US"/>
        </w:rPr>
      </w:pPr>
      <w:r w:rsidRPr="00927FD8">
        <w:rPr>
          <w:rFonts w:eastAsia="Raleway" w:cs="Raleway"/>
          <w:b/>
          <w:bCs/>
          <w:lang w:val="en-US"/>
        </w:rPr>
        <w:t>Note:</w:t>
      </w:r>
      <w:r w:rsidRPr="00927FD8">
        <w:rPr>
          <w:rFonts w:eastAsia="Raleway" w:cs="Raleway"/>
          <w:lang w:val="en-US"/>
        </w:rPr>
        <w:t xml:space="preserve"> </w:t>
      </w:r>
      <w:r w:rsidR="003D3058" w:rsidRPr="00927FD8">
        <w:rPr>
          <w:rFonts w:eastAsia="Raleway" w:cs="Raleway"/>
          <w:lang w:val="en-US"/>
        </w:rPr>
        <w:t xml:space="preserve">This “Ontario Business” definition </w:t>
      </w:r>
      <w:r w:rsidR="00836493">
        <w:rPr>
          <w:rFonts w:eastAsia="Raleway" w:cs="Raleway"/>
          <w:lang w:val="en-US"/>
        </w:rPr>
        <w:t xml:space="preserve">is </w:t>
      </w:r>
      <w:r w:rsidR="003D3058" w:rsidRPr="00927FD8">
        <w:rPr>
          <w:rFonts w:eastAsia="Raleway" w:cs="Raleway"/>
          <w:lang w:val="en-US"/>
        </w:rPr>
        <w:t xml:space="preserve">prescribed by regulation under the </w:t>
      </w:r>
      <w:r w:rsidR="003D3058" w:rsidRPr="00927FD8">
        <w:rPr>
          <w:rFonts w:eastAsia="Raleway" w:cs="Raleway"/>
          <w:i/>
          <w:iCs/>
          <w:lang w:val="en-US"/>
        </w:rPr>
        <w:t>Building Ontario Businesses Initiative Act</w:t>
      </w:r>
      <w:r w:rsidR="003D3058" w:rsidRPr="00927FD8">
        <w:rPr>
          <w:rFonts w:eastAsia="Raleway" w:cs="Raleway"/>
          <w:lang w:val="en-US"/>
        </w:rPr>
        <w:t>.</w:t>
      </w:r>
    </w:p>
    <w:p w14:paraId="56149383" w14:textId="58BC9829" w:rsidR="0087111E" w:rsidRPr="000202DB" w:rsidRDefault="0087111E" w:rsidP="003A1AC7">
      <w:pPr>
        <w:pStyle w:val="Heading1"/>
      </w:pPr>
      <w:bookmarkStart w:id="14" w:name="_Toc174975044"/>
      <w:r>
        <w:t>T</w:t>
      </w:r>
      <w:r w:rsidRPr="000202DB">
        <w:t xml:space="preserve">he </w:t>
      </w:r>
      <w:r>
        <w:t>Approaches and</w:t>
      </w:r>
      <w:r w:rsidRPr="000202DB">
        <w:t xml:space="preserve"> Strategies</w:t>
      </w:r>
      <w:bookmarkEnd w:id="14"/>
      <w:r w:rsidRPr="000202DB">
        <w:t xml:space="preserve">  </w:t>
      </w:r>
    </w:p>
    <w:p w14:paraId="7034515A" w14:textId="44CCD466" w:rsidR="00F139F7" w:rsidRDefault="00B3256B" w:rsidP="00BC679E">
      <w:pPr>
        <w:spacing w:after="240" w:line="240" w:lineRule="auto"/>
        <w:rPr>
          <w:rFonts w:cstheme="minorHAnsi"/>
          <w:szCs w:val="24"/>
          <w:lang w:val="en-US"/>
        </w:rPr>
      </w:pPr>
      <w:r w:rsidRPr="00630226">
        <w:rPr>
          <w:rFonts w:cstheme="minorHAnsi"/>
          <w:b/>
          <w:bCs/>
          <w:szCs w:val="24"/>
          <w:lang w:val="en-US"/>
        </w:rPr>
        <w:t>“</w:t>
      </w:r>
      <w:r w:rsidRPr="00630226">
        <w:rPr>
          <w:b/>
          <w:bCs/>
          <w:szCs w:val="24"/>
        </w:rPr>
        <w:t>Bidder from a jurisdiction that has trade obligations with Ontario”</w:t>
      </w:r>
      <w:r>
        <w:rPr>
          <w:b/>
          <w:bCs/>
          <w:szCs w:val="24"/>
        </w:rPr>
        <w:t xml:space="preserve"> </w:t>
      </w:r>
      <w:r w:rsidRPr="00630226">
        <w:rPr>
          <w:szCs w:val="24"/>
        </w:rPr>
        <w:t>me</w:t>
      </w:r>
      <w:r>
        <w:rPr>
          <w:szCs w:val="24"/>
        </w:rPr>
        <w:t xml:space="preserve">ans a supplier </w:t>
      </w:r>
      <w:r w:rsidR="00376530">
        <w:rPr>
          <w:szCs w:val="24"/>
        </w:rPr>
        <w:t>of</w:t>
      </w:r>
      <w:r w:rsidR="001A3CD9">
        <w:rPr>
          <w:szCs w:val="24"/>
        </w:rPr>
        <w:t xml:space="preserve"> </w:t>
      </w:r>
      <w:r>
        <w:rPr>
          <w:szCs w:val="24"/>
        </w:rPr>
        <w:t>a country that has existing</w:t>
      </w:r>
      <w:r w:rsidR="00376530">
        <w:rPr>
          <w:szCs w:val="24"/>
        </w:rPr>
        <w:t xml:space="preserve"> procurement-related</w:t>
      </w:r>
      <w:r>
        <w:rPr>
          <w:szCs w:val="24"/>
        </w:rPr>
        <w:t xml:space="preserve"> trade </w:t>
      </w:r>
      <w:r w:rsidR="00376530">
        <w:rPr>
          <w:szCs w:val="24"/>
        </w:rPr>
        <w:t xml:space="preserve">obligations </w:t>
      </w:r>
      <w:r>
        <w:rPr>
          <w:szCs w:val="24"/>
        </w:rPr>
        <w:t xml:space="preserve">with Ontario. </w:t>
      </w:r>
      <w:r>
        <w:rPr>
          <w:rFonts w:cstheme="minorHAnsi"/>
          <w:szCs w:val="24"/>
          <w:lang w:val="en-US"/>
        </w:rPr>
        <w:t xml:space="preserve">Note: A complete list </w:t>
      </w:r>
      <w:r w:rsidR="00BE7B21">
        <w:rPr>
          <w:rFonts w:cstheme="minorHAnsi"/>
          <w:szCs w:val="24"/>
          <w:lang w:val="en-US"/>
        </w:rPr>
        <w:t>of jurisdictions</w:t>
      </w:r>
      <w:r w:rsidR="00376530">
        <w:rPr>
          <w:rFonts w:cstheme="minorHAnsi"/>
          <w:szCs w:val="24"/>
          <w:lang w:val="en-US"/>
        </w:rPr>
        <w:t xml:space="preserve"> that have trade obligations with Ontario</w:t>
      </w:r>
      <w:r>
        <w:rPr>
          <w:rFonts w:cstheme="minorHAnsi"/>
          <w:szCs w:val="24"/>
          <w:lang w:val="en-US"/>
        </w:rPr>
        <w:t xml:space="preserve"> is available in the BOBI Guide for ease of reference</w:t>
      </w:r>
      <w:r w:rsidR="00363210">
        <w:rPr>
          <w:rFonts w:cstheme="minorHAnsi"/>
          <w:szCs w:val="24"/>
          <w:lang w:val="en-US"/>
        </w:rPr>
        <w:t xml:space="preserve"> (</w:t>
      </w:r>
      <w:r w:rsidR="00FA2C94">
        <w:rPr>
          <w:rFonts w:cstheme="minorHAnsi"/>
          <w:szCs w:val="24"/>
          <w:lang w:val="en-US"/>
        </w:rPr>
        <w:t>See</w:t>
      </w:r>
      <w:r w:rsidR="00363210">
        <w:rPr>
          <w:rFonts w:cstheme="minorHAnsi"/>
          <w:szCs w:val="24"/>
          <w:lang w:val="en-US"/>
        </w:rPr>
        <w:t xml:space="preserve"> </w:t>
      </w:r>
      <w:hyperlink w:anchor="_Appendix_C:_List_1" w:history="1">
        <w:r w:rsidR="00363210" w:rsidRPr="00357DAF">
          <w:rPr>
            <w:rStyle w:val="Hyperlink"/>
            <w:rFonts w:cstheme="minorHAnsi"/>
            <w:szCs w:val="24"/>
            <w:lang w:val="en-US"/>
          </w:rPr>
          <w:t xml:space="preserve">Appendix </w:t>
        </w:r>
        <w:r w:rsidR="00357DAF" w:rsidRPr="00357DAF">
          <w:rPr>
            <w:rStyle w:val="Hyperlink"/>
            <w:rFonts w:cstheme="minorHAnsi"/>
            <w:szCs w:val="24"/>
            <w:lang w:val="en-US"/>
          </w:rPr>
          <w:t>C</w:t>
        </w:r>
      </w:hyperlink>
      <w:r w:rsidR="00357DAF">
        <w:rPr>
          <w:rFonts w:cstheme="minorHAnsi"/>
          <w:szCs w:val="24"/>
          <w:lang w:val="en-US"/>
        </w:rPr>
        <w:t>.</w:t>
      </w:r>
      <w:r w:rsidR="00FA2C94">
        <w:rPr>
          <w:rFonts w:cstheme="minorHAnsi"/>
          <w:szCs w:val="24"/>
          <w:lang w:val="en-US"/>
        </w:rPr>
        <w:t>).</w:t>
      </w:r>
    </w:p>
    <w:p w14:paraId="7D24B851" w14:textId="7FF52DD8" w:rsidR="005C71F2" w:rsidRDefault="005C71F2" w:rsidP="00264B5C">
      <w:pPr>
        <w:spacing w:after="240"/>
        <w:rPr>
          <w:rFonts w:eastAsia="Times New Roman" w:cs="Arial"/>
          <w:lang w:eastAsia="en-CA"/>
        </w:rPr>
      </w:pPr>
      <w:bookmarkStart w:id="15" w:name="Overview"/>
      <w:r w:rsidRPr="00BE7B21">
        <w:rPr>
          <w:rFonts w:cstheme="minorHAnsi"/>
          <w:szCs w:val="24"/>
          <w:lang w:val="en-US"/>
        </w:rPr>
        <w:t>The tables below set out the BOBI strategy and procurement method to be used at the applicable the value of the procurement</w:t>
      </w:r>
      <w:r>
        <w:rPr>
          <w:rFonts w:cstheme="minorHAnsi"/>
          <w:szCs w:val="24"/>
          <w:lang w:val="en-US"/>
        </w:rPr>
        <w:t>.</w:t>
      </w:r>
    </w:p>
    <w:p w14:paraId="694C8EFC" w14:textId="527C7684" w:rsidR="17A7921C" w:rsidRDefault="00D41A72" w:rsidP="006F3345">
      <w:pPr>
        <w:pStyle w:val="Heading2"/>
      </w:pPr>
      <w:bookmarkStart w:id="16" w:name="_Toc174975045"/>
      <w:bookmarkEnd w:id="15"/>
      <w:r w:rsidRPr="00DB3D9D">
        <w:t>Invitational Procurement Process</w:t>
      </w:r>
      <w:bookmarkEnd w:id="16"/>
    </w:p>
    <w:tbl>
      <w:tblPr>
        <w:tblStyle w:val="TableGrid"/>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685"/>
        <w:gridCol w:w="2977"/>
      </w:tblGrid>
      <w:tr w:rsidR="003B3B74" w14:paraId="6AC8945C" w14:textId="77777777" w:rsidTr="000545A9">
        <w:tc>
          <w:tcPr>
            <w:tcW w:w="3114" w:type="dxa"/>
          </w:tcPr>
          <w:p w14:paraId="0DC693EE" w14:textId="7553299E" w:rsidR="003B3B74" w:rsidRPr="0046520D" w:rsidRDefault="003B3B74" w:rsidP="00264B5C">
            <w:pPr>
              <w:jc w:val="center"/>
              <w:rPr>
                <w:b/>
                <w:bCs/>
              </w:rPr>
            </w:pPr>
            <w:r w:rsidRPr="0046520D">
              <w:rPr>
                <w:b/>
                <w:bCs/>
              </w:rPr>
              <w:t xml:space="preserve">Approach </w:t>
            </w:r>
          </w:p>
        </w:tc>
        <w:tc>
          <w:tcPr>
            <w:tcW w:w="3685" w:type="dxa"/>
          </w:tcPr>
          <w:p w14:paraId="1625DC9E" w14:textId="41C410A1" w:rsidR="003B3B74" w:rsidRPr="0046520D" w:rsidRDefault="003B3B74" w:rsidP="00264B5C">
            <w:pPr>
              <w:jc w:val="center"/>
              <w:rPr>
                <w:b/>
                <w:bCs/>
              </w:rPr>
            </w:pPr>
            <w:r w:rsidRPr="0046520D">
              <w:rPr>
                <w:b/>
                <w:bCs/>
              </w:rPr>
              <w:t>Strategy</w:t>
            </w:r>
          </w:p>
        </w:tc>
        <w:tc>
          <w:tcPr>
            <w:tcW w:w="2977" w:type="dxa"/>
          </w:tcPr>
          <w:p w14:paraId="458D53FE" w14:textId="70F1D314" w:rsidR="003B3B74" w:rsidRPr="0046520D" w:rsidRDefault="003B3B74" w:rsidP="00264B5C">
            <w:pPr>
              <w:jc w:val="center"/>
              <w:rPr>
                <w:b/>
                <w:bCs/>
              </w:rPr>
            </w:pPr>
            <w:r w:rsidRPr="0046520D">
              <w:rPr>
                <w:b/>
                <w:bCs/>
              </w:rPr>
              <w:t>Threshold</w:t>
            </w:r>
            <w:r w:rsidR="00502E16" w:rsidRPr="0046520D">
              <w:rPr>
                <w:rStyle w:val="FootnoteReference"/>
                <w:b/>
                <w:bCs/>
              </w:rPr>
              <w:footnoteReference w:id="2"/>
            </w:r>
          </w:p>
        </w:tc>
      </w:tr>
      <w:tr w:rsidR="000F145B" w14:paraId="575E17AD" w14:textId="77777777" w:rsidTr="000545A9">
        <w:trPr>
          <w:trHeight w:val="1313"/>
        </w:trPr>
        <w:tc>
          <w:tcPr>
            <w:tcW w:w="3114" w:type="dxa"/>
          </w:tcPr>
          <w:p w14:paraId="1958B69A" w14:textId="1CE46369" w:rsidR="000F145B" w:rsidRPr="0046520D" w:rsidRDefault="000F145B" w:rsidP="00D255AC">
            <w:pPr>
              <w:pStyle w:val="ListParagraph"/>
              <w:numPr>
                <w:ilvl w:val="0"/>
                <w:numId w:val="32"/>
              </w:numPr>
              <w:ind w:left="0"/>
              <w:rPr>
                <w:b/>
                <w:bCs/>
              </w:rPr>
            </w:pPr>
            <w:r w:rsidRPr="0046520D">
              <w:rPr>
                <w:b/>
                <w:bCs/>
              </w:rPr>
              <w:t>Below domestic trade agreement thresholds</w:t>
            </w:r>
          </w:p>
          <w:p w14:paraId="2BF07F3D" w14:textId="77777777" w:rsidR="000F145B" w:rsidRDefault="000F145B" w:rsidP="00264B5C">
            <w:pPr>
              <w:rPr>
                <w:b/>
                <w:bCs/>
                <w:u w:val="single"/>
              </w:rPr>
            </w:pPr>
          </w:p>
        </w:tc>
        <w:tc>
          <w:tcPr>
            <w:tcW w:w="3685" w:type="dxa"/>
          </w:tcPr>
          <w:p w14:paraId="29FDA045" w14:textId="77777777" w:rsidR="000F145B" w:rsidRPr="009D40FE" w:rsidRDefault="000F145B" w:rsidP="00D255AC">
            <w:pPr>
              <w:pStyle w:val="ListParagraph"/>
              <w:numPr>
                <w:ilvl w:val="0"/>
                <w:numId w:val="31"/>
              </w:numPr>
              <w:spacing w:after="240"/>
              <w:ind w:left="0"/>
              <w:rPr>
                <w:rFonts w:eastAsia="Times New Roman" w:cs="Arial"/>
                <w:lang w:eastAsia="en-CA"/>
              </w:rPr>
            </w:pPr>
            <w:r>
              <w:t>Government entities must give preference to Ontario businesses.</w:t>
            </w:r>
          </w:p>
          <w:p w14:paraId="444E1DB4" w14:textId="77777777" w:rsidR="000F145B" w:rsidRDefault="000F145B" w:rsidP="00264B5C">
            <w:pPr>
              <w:rPr>
                <w:b/>
                <w:bCs/>
                <w:u w:val="single"/>
              </w:rPr>
            </w:pPr>
          </w:p>
        </w:tc>
        <w:tc>
          <w:tcPr>
            <w:tcW w:w="2977" w:type="dxa"/>
          </w:tcPr>
          <w:p w14:paraId="24496B4F" w14:textId="77777777" w:rsidR="000F145B" w:rsidRPr="00B42A98" w:rsidRDefault="000F145B" w:rsidP="00264B5C">
            <w:pPr>
              <w:spacing w:before="0" w:after="0" w:line="240" w:lineRule="auto"/>
              <w:rPr>
                <w:b/>
                <w:bCs/>
              </w:rPr>
            </w:pPr>
            <w:r w:rsidRPr="00B42A98">
              <w:rPr>
                <w:b/>
                <w:bCs/>
              </w:rPr>
              <w:t>OPS</w:t>
            </w:r>
          </w:p>
          <w:p w14:paraId="15F264B8" w14:textId="6DE0B02F" w:rsidR="000F145B" w:rsidRDefault="000F145B" w:rsidP="00264B5C">
            <w:pPr>
              <w:spacing w:before="0" w:after="0" w:line="240" w:lineRule="auto"/>
            </w:pPr>
            <w:r>
              <w:t>Goods - &lt;$30,300</w:t>
            </w:r>
          </w:p>
          <w:p w14:paraId="32D08751" w14:textId="77777777" w:rsidR="000F145B" w:rsidRDefault="000F145B" w:rsidP="00264B5C">
            <w:pPr>
              <w:spacing w:before="0" w:after="0" w:line="240" w:lineRule="auto"/>
              <w:rPr>
                <w:b/>
                <w:bCs/>
              </w:rPr>
            </w:pPr>
            <w:r>
              <w:t>Services - &lt;$121,200</w:t>
            </w:r>
            <w:r w:rsidRPr="00B42A98">
              <w:rPr>
                <w:b/>
                <w:bCs/>
              </w:rPr>
              <w:t xml:space="preserve"> </w:t>
            </w:r>
          </w:p>
          <w:p w14:paraId="19E26A1A" w14:textId="77777777" w:rsidR="000F145B" w:rsidRDefault="000F145B" w:rsidP="00264B5C">
            <w:pPr>
              <w:spacing w:before="0" w:after="0" w:line="240" w:lineRule="auto"/>
              <w:rPr>
                <w:b/>
                <w:bCs/>
              </w:rPr>
            </w:pPr>
          </w:p>
          <w:p w14:paraId="1CF2A0C7" w14:textId="57F9814E" w:rsidR="000F145B" w:rsidRPr="00B42A98" w:rsidRDefault="000F145B" w:rsidP="00264B5C">
            <w:pPr>
              <w:spacing w:before="0" w:after="0" w:line="240" w:lineRule="auto"/>
              <w:rPr>
                <w:b/>
                <w:bCs/>
              </w:rPr>
            </w:pPr>
            <w:r w:rsidRPr="00B42A98">
              <w:rPr>
                <w:b/>
                <w:bCs/>
              </w:rPr>
              <w:t>BPS</w:t>
            </w:r>
          </w:p>
          <w:p w14:paraId="03D6545E" w14:textId="230EC205" w:rsidR="000F145B" w:rsidRDefault="000F145B" w:rsidP="00264B5C">
            <w:pPr>
              <w:spacing w:before="0" w:after="0" w:line="240" w:lineRule="auto"/>
              <w:rPr>
                <w:b/>
                <w:bCs/>
                <w:u w:val="single"/>
              </w:rPr>
            </w:pPr>
            <w:r>
              <w:t>Goods &amp; Services &lt;$121,200</w:t>
            </w:r>
          </w:p>
        </w:tc>
      </w:tr>
    </w:tbl>
    <w:p w14:paraId="23581169" w14:textId="5B192A1F" w:rsidR="00B5673D" w:rsidRDefault="00D41A72" w:rsidP="006F3345">
      <w:pPr>
        <w:pStyle w:val="Heading2"/>
      </w:pPr>
      <w:bookmarkStart w:id="17" w:name="_Toc174975046"/>
      <w:r>
        <w:lastRenderedPageBreak/>
        <w:t>O</w:t>
      </w:r>
      <w:r w:rsidRPr="0031521D">
        <w:t>pen-Competitive Procurement Process</w:t>
      </w:r>
      <w:bookmarkEnd w:id="17"/>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3827"/>
        <w:gridCol w:w="2977"/>
      </w:tblGrid>
      <w:tr w:rsidR="00B5673D" w:rsidRPr="003B3B74" w14:paraId="2E9FA192" w14:textId="77777777" w:rsidTr="000F145B">
        <w:tc>
          <w:tcPr>
            <w:tcW w:w="2972" w:type="dxa"/>
            <w:tcBorders>
              <w:top w:val="single" w:sz="4" w:space="0" w:color="auto"/>
              <w:left w:val="single" w:sz="4" w:space="0" w:color="auto"/>
              <w:bottom w:val="single" w:sz="4" w:space="0" w:color="auto"/>
              <w:right w:val="single" w:sz="4" w:space="0" w:color="auto"/>
            </w:tcBorders>
          </w:tcPr>
          <w:p w14:paraId="4BC5DB4D" w14:textId="1178375C" w:rsidR="00B5673D" w:rsidRPr="00C60AA6" w:rsidRDefault="00B5673D" w:rsidP="00264B5C">
            <w:pPr>
              <w:jc w:val="center"/>
              <w:rPr>
                <w:b/>
                <w:bCs/>
              </w:rPr>
            </w:pPr>
            <w:r w:rsidRPr="00C60AA6">
              <w:rPr>
                <w:b/>
                <w:bCs/>
              </w:rPr>
              <w:t xml:space="preserve">Approach </w:t>
            </w:r>
          </w:p>
        </w:tc>
        <w:tc>
          <w:tcPr>
            <w:tcW w:w="3827" w:type="dxa"/>
            <w:tcBorders>
              <w:top w:val="single" w:sz="4" w:space="0" w:color="auto"/>
              <w:left w:val="single" w:sz="4" w:space="0" w:color="auto"/>
              <w:bottom w:val="single" w:sz="4" w:space="0" w:color="auto"/>
              <w:right w:val="single" w:sz="4" w:space="0" w:color="auto"/>
            </w:tcBorders>
          </w:tcPr>
          <w:p w14:paraId="007AFE34" w14:textId="77777777" w:rsidR="00B5673D" w:rsidRPr="00C60AA6" w:rsidRDefault="00B5673D" w:rsidP="00264B5C">
            <w:pPr>
              <w:jc w:val="center"/>
              <w:rPr>
                <w:b/>
                <w:bCs/>
              </w:rPr>
            </w:pPr>
            <w:r w:rsidRPr="00C60AA6">
              <w:rPr>
                <w:b/>
                <w:bCs/>
              </w:rPr>
              <w:t>Strategy</w:t>
            </w:r>
          </w:p>
        </w:tc>
        <w:tc>
          <w:tcPr>
            <w:tcW w:w="2977" w:type="dxa"/>
            <w:tcBorders>
              <w:top w:val="single" w:sz="4" w:space="0" w:color="auto"/>
              <w:left w:val="single" w:sz="4" w:space="0" w:color="auto"/>
              <w:bottom w:val="single" w:sz="4" w:space="0" w:color="auto"/>
              <w:right w:val="single" w:sz="4" w:space="0" w:color="auto"/>
            </w:tcBorders>
          </w:tcPr>
          <w:p w14:paraId="0976D395" w14:textId="77777777" w:rsidR="00B5673D" w:rsidRPr="00C60AA6" w:rsidRDefault="00B5673D" w:rsidP="00264B5C">
            <w:pPr>
              <w:jc w:val="center"/>
              <w:rPr>
                <w:b/>
                <w:bCs/>
              </w:rPr>
            </w:pPr>
            <w:r w:rsidRPr="00C60AA6">
              <w:rPr>
                <w:b/>
                <w:bCs/>
              </w:rPr>
              <w:t>Threshold</w:t>
            </w:r>
          </w:p>
        </w:tc>
      </w:tr>
      <w:tr w:rsidR="000F145B" w14:paraId="34406CE4" w14:textId="77777777" w:rsidTr="0046520D">
        <w:trPr>
          <w:trHeight w:val="2735"/>
        </w:trPr>
        <w:tc>
          <w:tcPr>
            <w:tcW w:w="2972" w:type="dxa"/>
            <w:tcBorders>
              <w:top w:val="single" w:sz="4" w:space="0" w:color="auto"/>
              <w:left w:val="single" w:sz="4" w:space="0" w:color="auto"/>
              <w:bottom w:val="single" w:sz="4" w:space="0" w:color="auto"/>
              <w:right w:val="single" w:sz="4" w:space="0" w:color="auto"/>
            </w:tcBorders>
          </w:tcPr>
          <w:p w14:paraId="2F9F56BF" w14:textId="0C886FE7" w:rsidR="000F145B" w:rsidRPr="0046520D" w:rsidRDefault="000F145B" w:rsidP="00EA492E">
            <w:pPr>
              <w:pStyle w:val="ListParagraph"/>
              <w:spacing w:before="120" w:after="200"/>
              <w:ind w:left="0"/>
              <w:rPr>
                <w:b/>
                <w:bCs/>
              </w:rPr>
            </w:pPr>
            <w:r w:rsidRPr="0046520D">
              <w:rPr>
                <w:b/>
                <w:bCs/>
              </w:rPr>
              <w:t>Below international trade</w:t>
            </w:r>
            <w:r w:rsidR="00376530" w:rsidRPr="0046520D">
              <w:rPr>
                <w:b/>
                <w:bCs/>
              </w:rPr>
              <w:t xml:space="preserve"> agreement</w:t>
            </w:r>
            <w:r w:rsidRPr="0046520D">
              <w:rPr>
                <w:b/>
                <w:bCs/>
              </w:rPr>
              <w:t xml:space="preserve"> threshold</w:t>
            </w:r>
            <w:r w:rsidR="00376530" w:rsidRPr="0046520D">
              <w:rPr>
                <w:b/>
                <w:bCs/>
              </w:rPr>
              <w:t>s</w:t>
            </w:r>
            <w:r w:rsidRPr="0046520D">
              <w:rPr>
                <w:b/>
                <w:bCs/>
              </w:rPr>
              <w:t xml:space="preserve"> but above domestic </w:t>
            </w:r>
            <w:r w:rsidR="00376530" w:rsidRPr="0046520D">
              <w:rPr>
                <w:b/>
                <w:bCs/>
              </w:rPr>
              <w:t xml:space="preserve">trade </w:t>
            </w:r>
            <w:r w:rsidRPr="0046520D">
              <w:rPr>
                <w:b/>
                <w:bCs/>
              </w:rPr>
              <w:t>agreement thresholds</w:t>
            </w:r>
          </w:p>
        </w:tc>
        <w:tc>
          <w:tcPr>
            <w:tcW w:w="3827" w:type="dxa"/>
            <w:tcBorders>
              <w:top w:val="single" w:sz="4" w:space="0" w:color="auto"/>
              <w:left w:val="single" w:sz="4" w:space="0" w:color="auto"/>
              <w:bottom w:val="single" w:sz="4" w:space="0" w:color="auto"/>
              <w:right w:val="single" w:sz="4" w:space="0" w:color="auto"/>
            </w:tcBorders>
          </w:tcPr>
          <w:p w14:paraId="51C35D18" w14:textId="6EC89A70" w:rsidR="000F145B" w:rsidRPr="00E06F02" w:rsidRDefault="000F145B" w:rsidP="00EA492E">
            <w:pPr>
              <w:pStyle w:val="ListParagraph"/>
              <w:spacing w:before="120" w:after="200"/>
              <w:ind w:left="0"/>
            </w:pPr>
            <w:r w:rsidRPr="00BA4A33">
              <w:t>Government entities must give preference to Canadian</w:t>
            </w:r>
            <w:r w:rsidR="00EA492E">
              <w:t xml:space="preserve"> </w:t>
            </w:r>
            <w:r w:rsidRPr="00BA4A33">
              <w:t>businesses</w:t>
            </w:r>
          </w:p>
        </w:tc>
        <w:tc>
          <w:tcPr>
            <w:tcW w:w="2977" w:type="dxa"/>
            <w:tcBorders>
              <w:top w:val="single" w:sz="4" w:space="0" w:color="auto"/>
              <w:left w:val="single" w:sz="4" w:space="0" w:color="auto"/>
              <w:bottom w:val="single" w:sz="4" w:space="0" w:color="auto"/>
              <w:right w:val="single" w:sz="4" w:space="0" w:color="auto"/>
            </w:tcBorders>
          </w:tcPr>
          <w:p w14:paraId="27887B2D" w14:textId="77777777" w:rsidR="000F145B" w:rsidRPr="00EA492E" w:rsidRDefault="000F145B" w:rsidP="00EA492E">
            <w:pPr>
              <w:pStyle w:val="ListParagraph"/>
              <w:spacing w:before="120" w:after="200"/>
              <w:ind w:left="0"/>
              <w:rPr>
                <w:b/>
                <w:bCs/>
              </w:rPr>
            </w:pPr>
            <w:r w:rsidRPr="00EA492E">
              <w:rPr>
                <w:b/>
                <w:bCs/>
              </w:rPr>
              <w:t>OPS</w:t>
            </w:r>
          </w:p>
          <w:p w14:paraId="478F5F6C" w14:textId="6A1DB705" w:rsidR="000F145B" w:rsidRPr="00EA492E" w:rsidRDefault="000F145B" w:rsidP="00EA492E">
            <w:pPr>
              <w:pStyle w:val="ListParagraph"/>
              <w:spacing w:before="120" w:after="200"/>
              <w:ind w:left="0"/>
            </w:pPr>
            <w:r>
              <w:t xml:space="preserve">Goods &amp; Services - </w:t>
            </w:r>
            <w:r w:rsidR="008D683C">
              <w:t>&lt;</w:t>
            </w:r>
            <w:r w:rsidRPr="00EA492E">
              <w:t xml:space="preserve">$353,300 </w:t>
            </w:r>
          </w:p>
          <w:p w14:paraId="14758DD8" w14:textId="77777777" w:rsidR="000F145B" w:rsidRPr="00EA492E" w:rsidRDefault="000F145B" w:rsidP="00EA492E">
            <w:pPr>
              <w:pStyle w:val="ListParagraph"/>
              <w:spacing w:before="120" w:after="200"/>
              <w:ind w:left="0"/>
            </w:pPr>
          </w:p>
          <w:p w14:paraId="6D07B6AD" w14:textId="72A08E07" w:rsidR="000F145B" w:rsidRPr="00EA492E" w:rsidRDefault="000F145B" w:rsidP="00EA492E">
            <w:pPr>
              <w:pStyle w:val="ListParagraph"/>
              <w:spacing w:before="120" w:after="200"/>
              <w:ind w:left="0"/>
              <w:rPr>
                <w:b/>
                <w:bCs/>
              </w:rPr>
            </w:pPr>
            <w:r w:rsidRPr="00EA492E">
              <w:rPr>
                <w:b/>
                <w:bCs/>
              </w:rPr>
              <w:t>BPS</w:t>
            </w:r>
          </w:p>
          <w:p w14:paraId="08D37BC8" w14:textId="5BF7FAA4" w:rsidR="000F145B" w:rsidRDefault="000F145B" w:rsidP="00EA492E">
            <w:pPr>
              <w:pStyle w:val="ListParagraph"/>
              <w:spacing w:before="120" w:after="200"/>
              <w:ind w:left="0"/>
              <w:rPr>
                <w:b/>
                <w:bCs/>
                <w:u w:val="single"/>
              </w:rPr>
            </w:pPr>
            <w:r>
              <w:t>Goods &amp; Services &gt;$121,200</w:t>
            </w:r>
          </w:p>
        </w:tc>
      </w:tr>
      <w:tr w:rsidR="000F145B" w14:paraId="3A88A1F2" w14:textId="77777777" w:rsidTr="0046520D">
        <w:trPr>
          <w:trHeight w:val="2366"/>
        </w:trPr>
        <w:tc>
          <w:tcPr>
            <w:tcW w:w="2972" w:type="dxa"/>
            <w:tcBorders>
              <w:top w:val="single" w:sz="4" w:space="0" w:color="auto"/>
              <w:left w:val="single" w:sz="4" w:space="0" w:color="auto"/>
              <w:right w:val="single" w:sz="4" w:space="0" w:color="auto"/>
            </w:tcBorders>
          </w:tcPr>
          <w:p w14:paraId="58A7F6CC" w14:textId="12323665" w:rsidR="000F145B" w:rsidRDefault="000F145B" w:rsidP="00EA492E">
            <w:pPr>
              <w:pStyle w:val="ListParagraph"/>
              <w:spacing w:before="120" w:after="200"/>
              <w:ind w:left="0"/>
            </w:pPr>
          </w:p>
        </w:tc>
        <w:tc>
          <w:tcPr>
            <w:tcW w:w="3827" w:type="dxa"/>
            <w:tcBorders>
              <w:top w:val="single" w:sz="4" w:space="0" w:color="auto"/>
              <w:left w:val="single" w:sz="4" w:space="0" w:color="auto"/>
              <w:bottom w:val="single" w:sz="4" w:space="0" w:color="auto"/>
              <w:right w:val="single" w:sz="4" w:space="0" w:color="auto"/>
            </w:tcBorders>
          </w:tcPr>
          <w:p w14:paraId="3EB3C2E8" w14:textId="011649E2" w:rsidR="000F145B" w:rsidRPr="00FE3605" w:rsidRDefault="000F145B" w:rsidP="00EA492E">
            <w:pPr>
              <w:pStyle w:val="ListParagraph"/>
              <w:spacing w:before="120" w:after="200"/>
              <w:ind w:left="0"/>
            </w:pPr>
            <w:r w:rsidRPr="00BA4A33">
              <w:t>Government entities must give preference to Canadian businesses and businesses of Ontario’s trading partners</w:t>
            </w:r>
            <w:r>
              <w:t>.</w:t>
            </w:r>
          </w:p>
        </w:tc>
        <w:tc>
          <w:tcPr>
            <w:tcW w:w="2977" w:type="dxa"/>
            <w:tcBorders>
              <w:top w:val="single" w:sz="4" w:space="0" w:color="auto"/>
              <w:left w:val="single" w:sz="4" w:space="0" w:color="auto"/>
              <w:right w:val="single" w:sz="4" w:space="0" w:color="auto"/>
            </w:tcBorders>
          </w:tcPr>
          <w:p w14:paraId="3D83F818" w14:textId="77777777" w:rsidR="000F145B" w:rsidRPr="00194E40" w:rsidRDefault="000F145B" w:rsidP="00264B5C">
            <w:pPr>
              <w:spacing w:before="0" w:after="0" w:line="240" w:lineRule="auto"/>
              <w:rPr>
                <w:b/>
                <w:bCs/>
              </w:rPr>
            </w:pPr>
            <w:r w:rsidRPr="00194E40">
              <w:rPr>
                <w:b/>
                <w:bCs/>
              </w:rPr>
              <w:t>OPS</w:t>
            </w:r>
          </w:p>
          <w:p w14:paraId="11407857" w14:textId="77777777" w:rsidR="000F145B" w:rsidRDefault="000F145B" w:rsidP="00264B5C">
            <w:pPr>
              <w:spacing w:before="0" w:after="0" w:line="240" w:lineRule="auto"/>
            </w:pPr>
            <w:r>
              <w:t>Goods &amp; Services - &gt;</w:t>
            </w:r>
            <w:r w:rsidRPr="000202DB">
              <w:rPr>
                <w:szCs w:val="24"/>
              </w:rPr>
              <w:t>$</w:t>
            </w:r>
            <w:r>
              <w:rPr>
                <w:szCs w:val="24"/>
              </w:rPr>
              <w:t>353,300</w:t>
            </w:r>
            <w:r>
              <w:t xml:space="preserve"> </w:t>
            </w:r>
          </w:p>
          <w:p w14:paraId="70EE1528" w14:textId="77777777" w:rsidR="000F145B" w:rsidRDefault="000F145B" w:rsidP="00264B5C">
            <w:pPr>
              <w:spacing w:before="0" w:after="0" w:line="240" w:lineRule="auto"/>
            </w:pPr>
          </w:p>
          <w:p w14:paraId="59F04854" w14:textId="5FB6552A" w:rsidR="000F145B" w:rsidRPr="00525C11" w:rsidRDefault="000F145B" w:rsidP="00264B5C">
            <w:pPr>
              <w:spacing w:before="0" w:after="0" w:line="240" w:lineRule="auto"/>
              <w:rPr>
                <w:b/>
                <w:bCs/>
              </w:rPr>
            </w:pPr>
            <w:r w:rsidRPr="00525C11">
              <w:rPr>
                <w:b/>
                <w:bCs/>
              </w:rPr>
              <w:t>BPS</w:t>
            </w:r>
          </w:p>
          <w:p w14:paraId="7213ADA2" w14:textId="77777777" w:rsidR="000F145B" w:rsidRDefault="000F145B" w:rsidP="00264B5C">
            <w:pPr>
              <w:spacing w:before="0" w:after="0" w:line="240" w:lineRule="auto"/>
            </w:pPr>
            <w:r>
              <w:t>Goods &amp; Services</w:t>
            </w:r>
          </w:p>
          <w:p w14:paraId="24A59169" w14:textId="77777777" w:rsidR="000F145B" w:rsidRDefault="000F145B" w:rsidP="00264B5C">
            <w:pPr>
              <w:spacing w:before="0"/>
              <w:contextualSpacing/>
              <w:rPr>
                <w:b/>
                <w:bCs/>
                <w:u w:val="single"/>
              </w:rPr>
            </w:pPr>
            <w:r>
              <w:t>&gt;</w:t>
            </w:r>
            <w:r w:rsidRPr="000202DB">
              <w:rPr>
                <w:szCs w:val="24"/>
              </w:rPr>
              <w:t>$</w:t>
            </w:r>
            <w:r>
              <w:rPr>
                <w:szCs w:val="24"/>
              </w:rPr>
              <w:t>353,300</w:t>
            </w:r>
          </w:p>
          <w:p w14:paraId="11490D1C" w14:textId="1BBDED0B" w:rsidR="000F145B" w:rsidRDefault="000F145B" w:rsidP="00264B5C">
            <w:pPr>
              <w:spacing w:before="0" w:after="0" w:line="240" w:lineRule="auto"/>
              <w:rPr>
                <w:b/>
                <w:bCs/>
                <w:u w:val="single"/>
              </w:rPr>
            </w:pPr>
          </w:p>
        </w:tc>
      </w:tr>
      <w:tr w:rsidR="00FE3605" w14:paraId="6E0797D1" w14:textId="77777777" w:rsidTr="0046520D">
        <w:trPr>
          <w:trHeight w:val="2429"/>
        </w:trPr>
        <w:tc>
          <w:tcPr>
            <w:tcW w:w="2972" w:type="dxa"/>
            <w:tcBorders>
              <w:left w:val="single" w:sz="4" w:space="0" w:color="auto"/>
              <w:right w:val="single" w:sz="4" w:space="0" w:color="auto"/>
            </w:tcBorders>
          </w:tcPr>
          <w:p w14:paraId="37725B2C" w14:textId="22BFFF1F" w:rsidR="00FE3605" w:rsidRPr="0046520D" w:rsidRDefault="00EA492E" w:rsidP="00264B5C">
            <w:pPr>
              <w:rPr>
                <w:b/>
                <w:bCs/>
              </w:rPr>
            </w:pPr>
            <w:r w:rsidRPr="0046520D">
              <w:rPr>
                <w:b/>
                <w:bCs/>
              </w:rPr>
              <w:t>Above International trade agreement thresholds</w:t>
            </w:r>
          </w:p>
        </w:tc>
        <w:tc>
          <w:tcPr>
            <w:tcW w:w="3827" w:type="dxa"/>
            <w:tcBorders>
              <w:top w:val="single" w:sz="4" w:space="0" w:color="auto"/>
              <w:left w:val="single" w:sz="4" w:space="0" w:color="auto"/>
              <w:bottom w:val="single" w:sz="4" w:space="0" w:color="auto"/>
              <w:right w:val="single" w:sz="4" w:space="0" w:color="auto"/>
            </w:tcBorders>
          </w:tcPr>
          <w:p w14:paraId="6D4044B2" w14:textId="77777777" w:rsidR="000E7C46" w:rsidRDefault="00FE3605" w:rsidP="00EA492E">
            <w:pPr>
              <w:pStyle w:val="ListParagraph"/>
              <w:spacing w:before="120" w:after="200"/>
              <w:ind w:left="0"/>
            </w:pPr>
            <w:r w:rsidRPr="00BA4A33">
              <w:t>Apply weighted domestic criteria in procurement evaluations</w:t>
            </w:r>
            <w:r>
              <w:t>.</w:t>
            </w:r>
          </w:p>
          <w:p w14:paraId="392079C8" w14:textId="11405D19" w:rsidR="000F145B" w:rsidRPr="000F145B" w:rsidRDefault="000F145B" w:rsidP="00EA492E">
            <w:pPr>
              <w:spacing w:before="120" w:after="200"/>
            </w:pPr>
          </w:p>
        </w:tc>
        <w:tc>
          <w:tcPr>
            <w:tcW w:w="2977" w:type="dxa"/>
            <w:tcBorders>
              <w:top w:val="single" w:sz="4" w:space="0" w:color="auto"/>
              <w:left w:val="single" w:sz="4" w:space="0" w:color="auto"/>
              <w:bottom w:val="single" w:sz="4" w:space="0" w:color="auto"/>
              <w:right w:val="single" w:sz="4" w:space="0" w:color="auto"/>
            </w:tcBorders>
          </w:tcPr>
          <w:p w14:paraId="445028A3" w14:textId="77777777" w:rsidR="000F145B" w:rsidRPr="00194E40" w:rsidRDefault="000F145B" w:rsidP="00264B5C">
            <w:pPr>
              <w:spacing w:before="0" w:after="0" w:line="240" w:lineRule="auto"/>
              <w:rPr>
                <w:b/>
                <w:bCs/>
              </w:rPr>
            </w:pPr>
            <w:r w:rsidRPr="00194E40">
              <w:rPr>
                <w:b/>
                <w:bCs/>
              </w:rPr>
              <w:t>OPS</w:t>
            </w:r>
          </w:p>
          <w:p w14:paraId="5233C709" w14:textId="77777777" w:rsidR="000F145B" w:rsidRDefault="000F145B" w:rsidP="00264B5C">
            <w:pPr>
              <w:spacing w:before="0" w:after="0" w:line="240" w:lineRule="auto"/>
            </w:pPr>
            <w:r>
              <w:t>Goods &amp; Services - &gt;</w:t>
            </w:r>
            <w:r w:rsidRPr="000202DB">
              <w:rPr>
                <w:szCs w:val="24"/>
              </w:rPr>
              <w:t>$</w:t>
            </w:r>
            <w:r>
              <w:rPr>
                <w:szCs w:val="24"/>
              </w:rPr>
              <w:t>353,300</w:t>
            </w:r>
            <w:r>
              <w:t xml:space="preserve"> </w:t>
            </w:r>
          </w:p>
          <w:p w14:paraId="27678B99" w14:textId="77777777" w:rsidR="000F145B" w:rsidRDefault="000F145B" w:rsidP="00264B5C">
            <w:pPr>
              <w:spacing w:before="0" w:after="0" w:line="240" w:lineRule="auto"/>
            </w:pPr>
          </w:p>
          <w:p w14:paraId="4A633291" w14:textId="77777777" w:rsidR="000F145B" w:rsidRPr="00525C11" w:rsidRDefault="000F145B" w:rsidP="00264B5C">
            <w:pPr>
              <w:spacing w:before="0" w:after="0" w:line="240" w:lineRule="auto"/>
              <w:rPr>
                <w:b/>
                <w:bCs/>
              </w:rPr>
            </w:pPr>
            <w:r w:rsidRPr="00525C11">
              <w:rPr>
                <w:b/>
                <w:bCs/>
              </w:rPr>
              <w:t>BPS</w:t>
            </w:r>
          </w:p>
          <w:p w14:paraId="5A97B12D" w14:textId="77777777" w:rsidR="000F145B" w:rsidRDefault="000F145B" w:rsidP="00264B5C">
            <w:pPr>
              <w:spacing w:before="0" w:after="0" w:line="240" w:lineRule="auto"/>
            </w:pPr>
            <w:r>
              <w:t>Goods &amp; Services</w:t>
            </w:r>
          </w:p>
          <w:p w14:paraId="2DECBC7B" w14:textId="14650701" w:rsidR="00FE3605" w:rsidRDefault="000F145B" w:rsidP="0046520D">
            <w:pPr>
              <w:spacing w:before="0"/>
              <w:contextualSpacing/>
              <w:rPr>
                <w:b/>
                <w:bCs/>
                <w:u w:val="single"/>
              </w:rPr>
            </w:pPr>
            <w:r>
              <w:t>&gt;</w:t>
            </w:r>
            <w:r w:rsidRPr="000202DB">
              <w:rPr>
                <w:szCs w:val="24"/>
              </w:rPr>
              <w:t>$</w:t>
            </w:r>
            <w:r>
              <w:rPr>
                <w:szCs w:val="24"/>
              </w:rPr>
              <w:t>353,300</w:t>
            </w:r>
          </w:p>
        </w:tc>
      </w:tr>
      <w:tr w:rsidR="00FE3605" w14:paraId="3C195788" w14:textId="77777777" w:rsidTr="0046520D">
        <w:tc>
          <w:tcPr>
            <w:tcW w:w="2972" w:type="dxa"/>
            <w:tcBorders>
              <w:left w:val="single" w:sz="4" w:space="0" w:color="auto"/>
              <w:bottom w:val="single" w:sz="4" w:space="0" w:color="auto"/>
              <w:right w:val="single" w:sz="4" w:space="0" w:color="auto"/>
            </w:tcBorders>
          </w:tcPr>
          <w:p w14:paraId="6F9F8B3D" w14:textId="77777777" w:rsidR="00FE3605" w:rsidRDefault="00FE3605" w:rsidP="00264B5C"/>
        </w:tc>
        <w:tc>
          <w:tcPr>
            <w:tcW w:w="3827" w:type="dxa"/>
            <w:tcBorders>
              <w:top w:val="single" w:sz="4" w:space="0" w:color="auto"/>
              <w:left w:val="single" w:sz="4" w:space="0" w:color="auto"/>
              <w:bottom w:val="single" w:sz="4" w:space="0" w:color="auto"/>
              <w:right w:val="single" w:sz="4" w:space="0" w:color="auto"/>
            </w:tcBorders>
          </w:tcPr>
          <w:p w14:paraId="56AD86BD" w14:textId="1B1BD256" w:rsidR="00FE3605" w:rsidRPr="00BA4A33" w:rsidRDefault="00FE3605" w:rsidP="00EA492E">
            <w:pPr>
              <w:pStyle w:val="ListParagraph"/>
              <w:spacing w:before="120" w:after="200"/>
              <w:ind w:left="0"/>
            </w:pPr>
            <w:r w:rsidRPr="00BB66D6">
              <w:t xml:space="preserve">For procurements with an estimated value of $50 million or more, </w:t>
            </w:r>
            <w:r w:rsidR="00BA03DD">
              <w:t xml:space="preserve">in specified sectors </w:t>
            </w:r>
            <w:r w:rsidRPr="00BB66D6">
              <w:t>include an Industrial Regional and Technology Benefit (IRTB) requirement for vendors</w:t>
            </w:r>
            <w:r w:rsidR="00BA03DD">
              <w:t xml:space="preserve"> </w:t>
            </w:r>
          </w:p>
        </w:tc>
        <w:tc>
          <w:tcPr>
            <w:tcW w:w="2977" w:type="dxa"/>
            <w:tcBorders>
              <w:top w:val="single" w:sz="4" w:space="0" w:color="auto"/>
              <w:left w:val="single" w:sz="4" w:space="0" w:color="auto"/>
              <w:bottom w:val="single" w:sz="4" w:space="0" w:color="auto"/>
              <w:right w:val="single" w:sz="4" w:space="0" w:color="auto"/>
            </w:tcBorders>
          </w:tcPr>
          <w:p w14:paraId="5A16E9EF" w14:textId="4B3AD3E5" w:rsidR="00FE3605" w:rsidRPr="00C60AA6" w:rsidRDefault="00C72904" w:rsidP="00264B5C">
            <w:pPr>
              <w:rPr>
                <w:b/>
                <w:bCs/>
              </w:rPr>
            </w:pPr>
            <w:r w:rsidRPr="00C60AA6">
              <w:rPr>
                <w:b/>
                <w:bCs/>
              </w:rPr>
              <w:t>$50M or more</w:t>
            </w:r>
          </w:p>
        </w:tc>
      </w:tr>
    </w:tbl>
    <w:p w14:paraId="44A4984F" w14:textId="77777777" w:rsidR="007445AA" w:rsidRDefault="007445AA" w:rsidP="00264B5C">
      <w:pPr>
        <w:spacing w:before="120"/>
        <w:rPr>
          <w:b/>
          <w:bCs/>
        </w:rPr>
      </w:pPr>
    </w:p>
    <w:p w14:paraId="23522435" w14:textId="7DE3C7C1" w:rsidR="007445AA" w:rsidRPr="003C41D6" w:rsidRDefault="00D41A72" w:rsidP="006F3345">
      <w:pPr>
        <w:pStyle w:val="Heading2"/>
      </w:pPr>
      <w:bookmarkStart w:id="18" w:name="_Toc174975047"/>
      <w:r w:rsidRPr="00EE14DC">
        <w:lastRenderedPageBreak/>
        <w:t>Non-Competitive Procurement Process</w:t>
      </w:r>
      <w:bookmarkEnd w:id="18"/>
    </w:p>
    <w:tbl>
      <w:tblPr>
        <w:tblStyle w:val="TableGrid"/>
        <w:tblW w:w="9776" w:type="dxa"/>
        <w:tblInd w:w="-5" w:type="dxa"/>
        <w:tblLook w:val="04A0" w:firstRow="1" w:lastRow="0" w:firstColumn="1" w:lastColumn="0" w:noHBand="0" w:noVBand="1"/>
        <w:tblCaption w:val="Invitational procurement process"/>
        <w:tblDescription w:val="aproach 1 with strategy 1 below trade agreement"/>
      </w:tblPr>
      <w:tblGrid>
        <w:gridCol w:w="2972"/>
        <w:gridCol w:w="3827"/>
        <w:gridCol w:w="2977"/>
      </w:tblGrid>
      <w:tr w:rsidR="007445AA" w:rsidRPr="003B3B74" w14:paraId="6EF7BDDB" w14:textId="77777777" w:rsidTr="002D1704">
        <w:tc>
          <w:tcPr>
            <w:tcW w:w="2972" w:type="dxa"/>
          </w:tcPr>
          <w:p w14:paraId="0E1F183A" w14:textId="77777777" w:rsidR="007445AA" w:rsidRPr="00C60AA6" w:rsidRDefault="007445AA" w:rsidP="00264B5C">
            <w:pPr>
              <w:jc w:val="center"/>
              <w:rPr>
                <w:b/>
                <w:bCs/>
              </w:rPr>
            </w:pPr>
            <w:bookmarkStart w:id="19" w:name="_Toc82601586"/>
            <w:r w:rsidRPr="00C60AA6">
              <w:rPr>
                <w:b/>
                <w:bCs/>
              </w:rPr>
              <w:t xml:space="preserve">Approach </w:t>
            </w:r>
          </w:p>
        </w:tc>
        <w:tc>
          <w:tcPr>
            <w:tcW w:w="3827" w:type="dxa"/>
          </w:tcPr>
          <w:p w14:paraId="59F11A72" w14:textId="77777777" w:rsidR="007445AA" w:rsidRPr="00C60AA6" w:rsidRDefault="007445AA" w:rsidP="00264B5C">
            <w:pPr>
              <w:jc w:val="center"/>
              <w:rPr>
                <w:b/>
                <w:bCs/>
              </w:rPr>
            </w:pPr>
            <w:r w:rsidRPr="00C60AA6">
              <w:rPr>
                <w:b/>
                <w:bCs/>
              </w:rPr>
              <w:t>Strategy</w:t>
            </w:r>
          </w:p>
        </w:tc>
        <w:tc>
          <w:tcPr>
            <w:tcW w:w="2977" w:type="dxa"/>
          </w:tcPr>
          <w:p w14:paraId="11907C28" w14:textId="77777777" w:rsidR="007445AA" w:rsidRPr="00C60AA6" w:rsidRDefault="007445AA" w:rsidP="00264B5C">
            <w:pPr>
              <w:jc w:val="center"/>
              <w:rPr>
                <w:b/>
                <w:bCs/>
              </w:rPr>
            </w:pPr>
            <w:r w:rsidRPr="00C60AA6">
              <w:rPr>
                <w:b/>
                <w:bCs/>
              </w:rPr>
              <w:t>Threshold</w:t>
            </w:r>
          </w:p>
        </w:tc>
      </w:tr>
      <w:tr w:rsidR="007445AA" w14:paraId="1ECFCF0C" w14:textId="77777777" w:rsidTr="002D1704">
        <w:tc>
          <w:tcPr>
            <w:tcW w:w="2972" w:type="dxa"/>
          </w:tcPr>
          <w:p w14:paraId="4E9162AA" w14:textId="52256CA0" w:rsidR="007445AA" w:rsidRPr="00EA492E" w:rsidRDefault="00865FAC" w:rsidP="008A43DC">
            <w:pPr>
              <w:pStyle w:val="ListParagraph"/>
              <w:spacing w:before="120" w:after="240"/>
              <w:ind w:left="0"/>
            </w:pPr>
            <w:r w:rsidRPr="00EA492E">
              <w:t>Where non-application/limited tendering provisions are applicable</w:t>
            </w:r>
          </w:p>
        </w:tc>
        <w:tc>
          <w:tcPr>
            <w:tcW w:w="3827" w:type="dxa"/>
          </w:tcPr>
          <w:p w14:paraId="3A82E13C" w14:textId="7A2593DE" w:rsidR="007445AA" w:rsidRPr="008A43DC" w:rsidRDefault="00397647" w:rsidP="00AA6E9E">
            <w:pPr>
              <w:spacing w:before="120" w:after="240"/>
            </w:pPr>
            <w:r w:rsidRPr="008A43DC">
              <w:t>Leverage trade agreements’ non-application/limited tendering opportunities to give preference to an Ontario business wherever feasible.</w:t>
            </w:r>
          </w:p>
        </w:tc>
        <w:tc>
          <w:tcPr>
            <w:tcW w:w="2977" w:type="dxa"/>
          </w:tcPr>
          <w:p w14:paraId="4A265206" w14:textId="77777777" w:rsidR="00AA6E9E" w:rsidRPr="00887220" w:rsidRDefault="0417CEE2" w:rsidP="00887220">
            <w:pPr>
              <w:spacing w:before="120" w:after="120"/>
              <w:rPr>
                <w:b/>
                <w:bCs/>
              </w:rPr>
            </w:pPr>
            <w:r w:rsidRPr="008A43DC">
              <w:rPr>
                <w:b/>
                <w:bCs/>
              </w:rPr>
              <w:t>OPS</w:t>
            </w:r>
            <w:r w:rsidRPr="00887220">
              <w:rPr>
                <w:b/>
                <w:bCs/>
              </w:rPr>
              <w:t xml:space="preserve"> </w:t>
            </w:r>
          </w:p>
          <w:p w14:paraId="6E81DBDE" w14:textId="647DD376" w:rsidR="007445AA" w:rsidRPr="00C60AA6" w:rsidRDefault="0417CEE2" w:rsidP="00887220">
            <w:pPr>
              <w:spacing w:before="0" w:after="240"/>
            </w:pPr>
            <w:r w:rsidRPr="00C60AA6">
              <w:t>Refer to section on allowable exception in the OPS PD</w:t>
            </w:r>
          </w:p>
          <w:p w14:paraId="0B03B169" w14:textId="6E20E471" w:rsidR="007445AA" w:rsidRPr="008A43DC" w:rsidRDefault="2363137B" w:rsidP="00887220">
            <w:pPr>
              <w:spacing w:before="120" w:after="120"/>
              <w:rPr>
                <w:b/>
                <w:bCs/>
              </w:rPr>
            </w:pPr>
            <w:r w:rsidRPr="008A43DC">
              <w:rPr>
                <w:b/>
                <w:bCs/>
              </w:rPr>
              <w:t>BPS</w:t>
            </w:r>
          </w:p>
          <w:p w14:paraId="4A078D98" w14:textId="3B2057D9" w:rsidR="007445AA" w:rsidRPr="008A43DC" w:rsidRDefault="2363137B" w:rsidP="00887220">
            <w:pPr>
              <w:spacing w:before="0" w:after="240"/>
            </w:pPr>
            <w:r w:rsidRPr="008A43DC">
              <w:t>Refer to applicable trade agreements</w:t>
            </w:r>
          </w:p>
        </w:tc>
      </w:tr>
    </w:tbl>
    <w:p w14:paraId="2DF148A4" w14:textId="2081B03D" w:rsidR="00277F47" w:rsidRDefault="00277F47" w:rsidP="00264B5C"/>
    <w:p w14:paraId="2A52DB92" w14:textId="77777777" w:rsidR="00277F47" w:rsidRDefault="00277F47" w:rsidP="00264B5C">
      <w:pPr>
        <w:spacing w:before="0" w:line="259" w:lineRule="auto"/>
      </w:pPr>
      <w:r>
        <w:br w:type="page"/>
      </w:r>
    </w:p>
    <w:p w14:paraId="67CE3C05" w14:textId="6DFCDFAF" w:rsidR="00886B6D" w:rsidRPr="004617FD" w:rsidRDefault="2697FFAB" w:rsidP="003A1AC7">
      <w:pPr>
        <w:pStyle w:val="Heading1"/>
      </w:pPr>
      <w:bookmarkStart w:id="20" w:name="_Toc174975048"/>
      <w:bookmarkEnd w:id="19"/>
      <w:r w:rsidRPr="00342E81">
        <w:lastRenderedPageBreak/>
        <w:t>Approach 1:</w:t>
      </w:r>
      <w:r w:rsidRPr="000202DB">
        <w:t xml:space="preserve"> </w:t>
      </w:r>
      <w:r w:rsidR="06E78CD3" w:rsidRPr="00342E81">
        <w:t>Procurement</w:t>
      </w:r>
      <w:r w:rsidR="004B5CE9" w:rsidRPr="00342E81">
        <w:t xml:space="preserve"> </w:t>
      </w:r>
      <w:r w:rsidR="0427E482" w:rsidRPr="00342E81">
        <w:t>Opportunities</w:t>
      </w:r>
      <w:r w:rsidR="06E78CD3" w:rsidRPr="00342E81">
        <w:t xml:space="preserve"> </w:t>
      </w:r>
      <w:r w:rsidR="000D31B5" w:rsidRPr="00342E81">
        <w:t>B</w:t>
      </w:r>
      <w:r w:rsidR="006F6EF7">
        <w:t>ELOW</w:t>
      </w:r>
      <w:r w:rsidR="000D31B5" w:rsidRPr="00342E81">
        <w:t xml:space="preserve"> D</w:t>
      </w:r>
      <w:r w:rsidR="00AE7168" w:rsidRPr="00342E81">
        <w:t>omestic</w:t>
      </w:r>
      <w:r w:rsidR="06E78CD3" w:rsidRPr="00342E81">
        <w:t xml:space="preserve"> trade </w:t>
      </w:r>
      <w:r w:rsidR="00337687" w:rsidRPr="00342E81">
        <w:t xml:space="preserve">agreement </w:t>
      </w:r>
      <w:r w:rsidR="06E78CD3" w:rsidRPr="00342E81">
        <w:t>threshold</w:t>
      </w:r>
      <w:bookmarkStart w:id="21" w:name="_Toc82601588"/>
      <w:r w:rsidR="001D0ACF" w:rsidRPr="00342E81">
        <w:t>s</w:t>
      </w:r>
      <w:bookmarkEnd w:id="20"/>
    </w:p>
    <w:p w14:paraId="5D027D0B" w14:textId="4BDC3833" w:rsidR="00A418FE" w:rsidRPr="00F93D45" w:rsidRDefault="00A418FE" w:rsidP="006F3345">
      <w:pPr>
        <w:pStyle w:val="Heading2"/>
      </w:pPr>
      <w:bookmarkStart w:id="22" w:name="_Toc174975049"/>
      <w:bookmarkEnd w:id="21"/>
      <w:r w:rsidRPr="00AA5ACE">
        <w:t>Strategy</w:t>
      </w:r>
      <w:r>
        <w:t xml:space="preserve"> 1: </w:t>
      </w:r>
      <w:r w:rsidR="00F31ACE">
        <w:t xml:space="preserve"> </w:t>
      </w:r>
      <w:r>
        <w:t>Government entities must give preference to Ontario businesses.</w:t>
      </w:r>
      <w:bookmarkEnd w:id="22"/>
    </w:p>
    <w:p w14:paraId="0E5E5795" w14:textId="7FE1F39F" w:rsidR="000D31B5" w:rsidRPr="009C4228" w:rsidRDefault="000D31B5" w:rsidP="0075412A">
      <w:pPr>
        <w:pStyle w:val="Heading3"/>
      </w:pPr>
      <w:r w:rsidRPr="009C4228">
        <w:t>When to Use</w:t>
      </w:r>
    </w:p>
    <w:p w14:paraId="4B20E98F" w14:textId="7AD7A33A" w:rsidR="00AD78FF" w:rsidRPr="009C4228" w:rsidRDefault="7201ED68" w:rsidP="009C4228">
      <w:pPr>
        <w:spacing w:before="120" w:after="240"/>
        <w:rPr>
          <w:rFonts w:eastAsia="Times New Roman" w:cs="Arial"/>
          <w:szCs w:val="24"/>
          <w:lang w:eastAsia="en-CA"/>
        </w:rPr>
      </w:pPr>
      <w:r w:rsidRPr="009C4228">
        <w:rPr>
          <w:rFonts w:eastAsia="Times New Roman" w:cs="Arial"/>
          <w:szCs w:val="24"/>
          <w:lang w:eastAsia="en-CA"/>
        </w:rPr>
        <w:t>When conducting an invitational procurement process</w:t>
      </w:r>
      <w:r w:rsidR="0010142D" w:rsidRPr="009C4228">
        <w:rPr>
          <w:rFonts w:cs="Arial"/>
          <w:szCs w:val="24"/>
        </w:rPr>
        <w:footnoteReference w:id="3"/>
      </w:r>
      <w:r w:rsidRPr="009C4228">
        <w:rPr>
          <w:rFonts w:eastAsia="Times New Roman" w:cs="Arial"/>
          <w:szCs w:val="24"/>
          <w:lang w:eastAsia="en-CA"/>
        </w:rPr>
        <w:t xml:space="preserve"> </w:t>
      </w:r>
      <w:r w:rsidR="000073BC" w:rsidRPr="009C4228">
        <w:rPr>
          <w:rFonts w:eastAsia="Times New Roman" w:cs="Arial"/>
          <w:szCs w:val="24"/>
          <w:lang w:eastAsia="en-CA"/>
        </w:rPr>
        <w:t>when the</w:t>
      </w:r>
      <w:r w:rsidR="001901AA" w:rsidRPr="009C4228">
        <w:rPr>
          <w:rFonts w:eastAsia="Times New Roman" w:cs="Arial"/>
          <w:szCs w:val="24"/>
          <w:lang w:eastAsia="en-CA"/>
        </w:rPr>
        <w:t xml:space="preserve"> value</w:t>
      </w:r>
      <w:r w:rsidR="00F016E5" w:rsidRPr="009C4228">
        <w:rPr>
          <w:rFonts w:eastAsia="Times New Roman" w:cs="Arial"/>
          <w:szCs w:val="24"/>
          <w:lang w:eastAsia="en-CA"/>
        </w:rPr>
        <w:t xml:space="preserve"> is at or below </w:t>
      </w:r>
      <w:r w:rsidR="62CBC869" w:rsidRPr="009C4228">
        <w:rPr>
          <w:rFonts w:eastAsia="Times New Roman" w:cs="Arial"/>
          <w:szCs w:val="24"/>
          <w:lang w:eastAsia="en-CA"/>
        </w:rPr>
        <w:t>the following values</w:t>
      </w:r>
      <w:r w:rsidR="001901AA" w:rsidRPr="009C4228">
        <w:rPr>
          <w:rFonts w:eastAsia="Times New Roman" w:cs="Arial"/>
          <w:szCs w:val="24"/>
          <w:lang w:eastAsia="en-CA"/>
        </w:rPr>
        <w:t>:</w:t>
      </w:r>
    </w:p>
    <w:tbl>
      <w:tblPr>
        <w:tblStyle w:val="GridTable4-Accent1"/>
        <w:tblW w:w="0" w:type="auto"/>
        <w:tblLook w:val="0420" w:firstRow="1" w:lastRow="0" w:firstColumn="0" w:lastColumn="0" w:noHBand="0" w:noVBand="1"/>
        <w:tblCaption w:val="Table 3: Trade agreement thresholds"/>
        <w:tblDescription w:val="Trade agreement thresholds are as follows for approach 2"/>
      </w:tblPr>
      <w:tblGrid>
        <w:gridCol w:w="2830"/>
        <w:gridCol w:w="3261"/>
        <w:gridCol w:w="3118"/>
      </w:tblGrid>
      <w:tr w:rsidR="00140C27" w14:paraId="5FD8DCE7" w14:textId="77777777" w:rsidTr="00170F20">
        <w:trPr>
          <w:cnfStyle w:val="100000000000" w:firstRow="1" w:lastRow="0" w:firstColumn="0" w:lastColumn="0" w:oddVBand="0" w:evenVBand="0" w:oddHBand="0" w:evenHBand="0" w:firstRowFirstColumn="0" w:firstRowLastColumn="0" w:lastRowFirstColumn="0" w:lastRowLastColumn="0"/>
          <w:trHeight w:val="1134"/>
        </w:trPr>
        <w:tc>
          <w:tcPr>
            <w:tcW w:w="2830" w:type="dxa"/>
          </w:tcPr>
          <w:p w14:paraId="7DC0155F" w14:textId="77777777" w:rsidR="00140C27" w:rsidRDefault="00140C27" w:rsidP="00264B5C">
            <w:pPr>
              <w:spacing w:before="0"/>
              <w:contextualSpacing/>
            </w:pPr>
            <w:r>
              <w:t>Procurement Type</w:t>
            </w:r>
          </w:p>
        </w:tc>
        <w:tc>
          <w:tcPr>
            <w:tcW w:w="3261" w:type="dxa"/>
          </w:tcPr>
          <w:p w14:paraId="49717B33" w14:textId="77777777" w:rsidR="00140C27" w:rsidRDefault="00140C27" w:rsidP="00264B5C">
            <w:pPr>
              <w:spacing w:before="0"/>
              <w:contextualSpacing/>
            </w:pPr>
            <w:r>
              <w:t>Ministries and most agencies</w:t>
            </w:r>
          </w:p>
        </w:tc>
        <w:tc>
          <w:tcPr>
            <w:tcW w:w="3118" w:type="dxa"/>
          </w:tcPr>
          <w:p w14:paraId="3E0E3711" w14:textId="77777777" w:rsidR="00140C27" w:rsidRDefault="00140C27" w:rsidP="00264B5C">
            <w:pPr>
              <w:spacing w:before="0"/>
              <w:contextualSpacing/>
            </w:pPr>
            <w:r>
              <w:t>School boards, publicly funded academic, health and social services entities</w:t>
            </w:r>
          </w:p>
        </w:tc>
      </w:tr>
      <w:tr w:rsidR="00140C27" w14:paraId="4C8DB3DA" w14:textId="77777777" w:rsidTr="00C57EF4">
        <w:trPr>
          <w:cnfStyle w:val="000000100000" w:firstRow="0" w:lastRow="0" w:firstColumn="0" w:lastColumn="0" w:oddVBand="0" w:evenVBand="0" w:oddHBand="1" w:evenHBand="0" w:firstRowFirstColumn="0" w:firstRowLastColumn="0" w:lastRowFirstColumn="0" w:lastRowLastColumn="0"/>
          <w:trHeight w:val="452"/>
        </w:trPr>
        <w:tc>
          <w:tcPr>
            <w:tcW w:w="2830" w:type="dxa"/>
          </w:tcPr>
          <w:p w14:paraId="2643B5DE" w14:textId="77777777" w:rsidR="00140C27" w:rsidRDefault="00140C27" w:rsidP="00264B5C">
            <w:pPr>
              <w:spacing w:before="0"/>
              <w:contextualSpacing/>
            </w:pPr>
            <w:r>
              <w:t>Goods</w:t>
            </w:r>
          </w:p>
        </w:tc>
        <w:tc>
          <w:tcPr>
            <w:tcW w:w="3261" w:type="dxa"/>
          </w:tcPr>
          <w:p w14:paraId="666E97E7" w14:textId="77777777" w:rsidR="00140C27" w:rsidRDefault="00140C27" w:rsidP="00264B5C">
            <w:pPr>
              <w:spacing w:before="0"/>
              <w:contextualSpacing/>
            </w:pPr>
            <w:r>
              <w:t>$30,300</w:t>
            </w:r>
          </w:p>
        </w:tc>
        <w:tc>
          <w:tcPr>
            <w:tcW w:w="3118" w:type="dxa"/>
          </w:tcPr>
          <w:p w14:paraId="6DD00E37" w14:textId="12E017FF" w:rsidR="00140C27" w:rsidRDefault="00140C27" w:rsidP="00C57EF4">
            <w:pPr>
              <w:spacing w:before="0"/>
              <w:contextualSpacing/>
            </w:pPr>
            <w:r>
              <w:t>$121,200</w:t>
            </w:r>
          </w:p>
        </w:tc>
      </w:tr>
      <w:tr w:rsidR="00140C27" w14:paraId="7A67EBA3" w14:textId="77777777" w:rsidTr="00170F20">
        <w:trPr>
          <w:trHeight w:val="340"/>
        </w:trPr>
        <w:tc>
          <w:tcPr>
            <w:tcW w:w="2830" w:type="dxa"/>
          </w:tcPr>
          <w:p w14:paraId="7772EFC4" w14:textId="77777777" w:rsidR="00140C27" w:rsidRDefault="00140C27" w:rsidP="00264B5C">
            <w:pPr>
              <w:spacing w:before="0"/>
              <w:contextualSpacing/>
            </w:pPr>
            <w:r>
              <w:t>Services</w:t>
            </w:r>
          </w:p>
        </w:tc>
        <w:tc>
          <w:tcPr>
            <w:tcW w:w="3261" w:type="dxa"/>
          </w:tcPr>
          <w:p w14:paraId="32DF7396" w14:textId="77777777" w:rsidR="00140C27" w:rsidRDefault="00140C27" w:rsidP="00264B5C">
            <w:pPr>
              <w:spacing w:before="0"/>
              <w:contextualSpacing/>
            </w:pPr>
            <w:r>
              <w:t>$121,200</w:t>
            </w:r>
          </w:p>
        </w:tc>
        <w:tc>
          <w:tcPr>
            <w:tcW w:w="3118" w:type="dxa"/>
          </w:tcPr>
          <w:p w14:paraId="73B938F8" w14:textId="00F05ED7" w:rsidR="00140C27" w:rsidRDefault="00140C27" w:rsidP="00C57EF4">
            <w:pPr>
              <w:spacing w:before="0"/>
              <w:contextualSpacing/>
            </w:pPr>
            <w:r>
              <w:t>$121,200</w:t>
            </w:r>
          </w:p>
        </w:tc>
      </w:tr>
      <w:tr w:rsidR="00140C27" w14:paraId="79006DC2" w14:textId="77777777" w:rsidTr="00170F20">
        <w:trPr>
          <w:cnfStyle w:val="000000100000" w:firstRow="0" w:lastRow="0" w:firstColumn="0" w:lastColumn="0" w:oddVBand="0" w:evenVBand="0" w:oddHBand="1" w:evenHBand="0" w:firstRowFirstColumn="0" w:firstRowLastColumn="0" w:lastRowFirstColumn="0" w:lastRowLastColumn="0"/>
          <w:trHeight w:val="340"/>
        </w:trPr>
        <w:tc>
          <w:tcPr>
            <w:tcW w:w="2830" w:type="dxa"/>
          </w:tcPr>
          <w:p w14:paraId="2E57BC3B" w14:textId="1547F43F" w:rsidR="00140C27" w:rsidRDefault="00140C27" w:rsidP="00264B5C">
            <w:pPr>
              <w:spacing w:before="0"/>
              <w:contextualSpacing/>
            </w:pPr>
            <w:r>
              <w:t>Construction</w:t>
            </w:r>
          </w:p>
        </w:tc>
        <w:tc>
          <w:tcPr>
            <w:tcW w:w="3261" w:type="dxa"/>
          </w:tcPr>
          <w:p w14:paraId="4ECE2C50" w14:textId="77777777" w:rsidR="00140C27" w:rsidRDefault="00140C27" w:rsidP="00264B5C">
            <w:pPr>
              <w:spacing w:before="0"/>
              <w:contextualSpacing/>
            </w:pPr>
            <w:r>
              <w:t>$121,200</w:t>
            </w:r>
          </w:p>
        </w:tc>
        <w:tc>
          <w:tcPr>
            <w:tcW w:w="3118" w:type="dxa"/>
          </w:tcPr>
          <w:p w14:paraId="3DB3D0D5" w14:textId="77777777" w:rsidR="00140C27" w:rsidRDefault="00140C27" w:rsidP="00264B5C">
            <w:pPr>
              <w:spacing w:before="0"/>
              <w:contextualSpacing/>
            </w:pPr>
            <w:r>
              <w:t>$121,200*</w:t>
            </w:r>
          </w:p>
        </w:tc>
      </w:tr>
    </w:tbl>
    <w:p w14:paraId="7D356C2B" w14:textId="77777777" w:rsidR="00A95BAB" w:rsidRDefault="00A95BAB" w:rsidP="00264B5C">
      <w:pPr>
        <w:spacing w:after="240"/>
        <w:rPr>
          <w:rFonts w:eastAsia="Times New Roman" w:cs="Times New Roman"/>
          <w:sz w:val="16"/>
          <w:szCs w:val="16"/>
          <w:lang w:eastAsia="en-CA"/>
        </w:rPr>
      </w:pPr>
      <w:r w:rsidRPr="00927FD8">
        <w:rPr>
          <w:rFonts w:eastAsia="Times New Roman" w:cs="Times New Roman"/>
          <w:sz w:val="16"/>
          <w:szCs w:val="16"/>
          <w:lang w:eastAsia="en-CA"/>
        </w:rPr>
        <w:t>*</w:t>
      </w:r>
      <w:r>
        <w:rPr>
          <w:rFonts w:eastAsia="Times New Roman" w:cs="Times New Roman"/>
          <w:sz w:val="16"/>
          <w:szCs w:val="16"/>
          <w:lang w:eastAsia="en-CA"/>
        </w:rPr>
        <w:t>This threshold amount is b</w:t>
      </w:r>
      <w:r w:rsidRPr="00927FD8">
        <w:rPr>
          <w:rFonts w:eastAsia="Times New Roman" w:cs="Times New Roman"/>
          <w:sz w:val="16"/>
          <w:szCs w:val="16"/>
          <w:lang w:eastAsia="en-CA"/>
        </w:rPr>
        <w:t>ased on OQTCA</w:t>
      </w:r>
      <w:r>
        <w:rPr>
          <w:rFonts w:eastAsia="Times New Roman" w:cs="Times New Roman"/>
          <w:sz w:val="16"/>
          <w:szCs w:val="16"/>
          <w:lang w:eastAsia="en-CA"/>
        </w:rPr>
        <w:t xml:space="preserve"> (domestic agreement) </w:t>
      </w:r>
      <w:r w:rsidRPr="2D3D6D4E">
        <w:rPr>
          <w:rFonts w:eastAsia="Times New Roman" w:cs="Times New Roman"/>
          <w:sz w:val="16"/>
          <w:szCs w:val="16"/>
          <w:lang w:eastAsia="en-CA"/>
        </w:rPr>
        <w:t xml:space="preserve">as </w:t>
      </w:r>
      <w:r>
        <w:rPr>
          <w:rFonts w:eastAsia="Times New Roman" w:cs="Times New Roman"/>
          <w:sz w:val="16"/>
          <w:szCs w:val="16"/>
          <w:lang w:eastAsia="en-CA"/>
        </w:rPr>
        <w:t>of 2024.</w:t>
      </w:r>
    </w:p>
    <w:p w14:paraId="6251926D" w14:textId="4186419D" w:rsidR="00AD78FF" w:rsidRPr="00FC08DB" w:rsidRDefault="19AF8484" w:rsidP="0075412A">
      <w:pPr>
        <w:pStyle w:val="Heading3"/>
      </w:pPr>
      <w:r w:rsidRPr="00FC08DB">
        <w:t>Description of Strategy</w:t>
      </w:r>
    </w:p>
    <w:p w14:paraId="46C6EE32" w14:textId="77777777" w:rsidR="00F41622" w:rsidRDefault="19AF8484" w:rsidP="00F41622">
      <w:pPr>
        <w:spacing w:before="120" w:after="240"/>
        <w:rPr>
          <w:rFonts w:eastAsia="Times New Roman" w:cs="Arial"/>
          <w:szCs w:val="24"/>
          <w:lang w:eastAsia="en-CA"/>
        </w:rPr>
      </w:pPr>
      <w:r w:rsidRPr="00F41622">
        <w:rPr>
          <w:rFonts w:eastAsia="Times New Roman" w:cs="Arial"/>
          <w:szCs w:val="24"/>
          <w:lang w:eastAsia="en-CA"/>
        </w:rPr>
        <w:t>W</w:t>
      </w:r>
      <w:r w:rsidR="00F016E5" w:rsidRPr="00F41622">
        <w:rPr>
          <w:rFonts w:eastAsia="Times New Roman" w:cs="Arial"/>
          <w:szCs w:val="24"/>
          <w:lang w:eastAsia="en-CA"/>
        </w:rPr>
        <w:t>herever feasible</w:t>
      </w:r>
      <w:r w:rsidR="00FB7D53" w:rsidRPr="00F41622">
        <w:rPr>
          <w:rFonts w:eastAsia="Times New Roman" w:cs="Arial"/>
          <w:szCs w:val="24"/>
          <w:lang w:eastAsia="en-CA"/>
        </w:rPr>
        <w:t xml:space="preserve"> buyers must</w:t>
      </w:r>
      <w:r w:rsidR="00F016E5" w:rsidRPr="00F41622">
        <w:rPr>
          <w:rFonts w:eastAsia="Times New Roman" w:cs="Arial"/>
          <w:szCs w:val="24"/>
          <w:lang w:eastAsia="en-CA"/>
        </w:rPr>
        <w:t xml:space="preserve"> give preference to Ontario </w:t>
      </w:r>
      <w:r w:rsidR="00661F33" w:rsidRPr="00F41622">
        <w:rPr>
          <w:rFonts w:eastAsia="Times New Roman" w:cs="Arial"/>
          <w:szCs w:val="24"/>
          <w:lang w:eastAsia="en-CA"/>
        </w:rPr>
        <w:t>businesses</w:t>
      </w:r>
      <w:r w:rsidR="1702CC3E" w:rsidRPr="00F41622">
        <w:rPr>
          <w:rFonts w:eastAsia="Times New Roman" w:cs="Arial"/>
          <w:szCs w:val="24"/>
          <w:lang w:eastAsia="en-CA"/>
        </w:rPr>
        <w:t xml:space="preserve"> by either:</w:t>
      </w:r>
    </w:p>
    <w:p w14:paraId="6A396EE0" w14:textId="0627FAA3" w:rsidR="00C34ACC" w:rsidRPr="00F41622" w:rsidRDefault="00C34ACC" w:rsidP="00D255AC">
      <w:pPr>
        <w:pStyle w:val="ListParagraph"/>
        <w:numPr>
          <w:ilvl w:val="0"/>
          <w:numId w:val="46"/>
        </w:numPr>
        <w:spacing w:before="120" w:after="240"/>
        <w:rPr>
          <w:rFonts w:eastAsia="Times New Roman" w:cs="Arial"/>
          <w:szCs w:val="24"/>
          <w:lang w:eastAsia="en-CA"/>
        </w:rPr>
      </w:pPr>
      <w:r w:rsidRPr="00F41622">
        <w:rPr>
          <w:rFonts w:eastAsia="Times New Roman" w:cs="Arial"/>
          <w:szCs w:val="24"/>
          <w:lang w:eastAsia="en-CA"/>
        </w:rPr>
        <w:t>Limiting eligibility to participate in the procurement process to one or more Ontario businesses; or</w:t>
      </w:r>
      <w:r w:rsidRPr="00F41622" w:rsidDel="004E4013">
        <w:rPr>
          <w:rFonts w:eastAsia="Times New Roman" w:cs="Arial"/>
          <w:szCs w:val="24"/>
          <w:lang w:eastAsia="en-CA"/>
        </w:rPr>
        <w:t xml:space="preserve"> </w:t>
      </w:r>
      <w:r w:rsidRPr="00F41622">
        <w:rPr>
          <w:rFonts w:eastAsia="Times New Roman" w:cs="Arial"/>
          <w:szCs w:val="24"/>
          <w:lang w:eastAsia="en-CA"/>
        </w:rPr>
        <w:t> </w:t>
      </w:r>
    </w:p>
    <w:p w14:paraId="385F68A2" w14:textId="3C028082" w:rsidR="00C34ACC" w:rsidRPr="00F41622" w:rsidRDefault="00C34ACC" w:rsidP="00D255AC">
      <w:pPr>
        <w:pStyle w:val="ListParagraph"/>
        <w:numPr>
          <w:ilvl w:val="0"/>
          <w:numId w:val="46"/>
        </w:numPr>
        <w:spacing w:before="120" w:after="240"/>
        <w:rPr>
          <w:rFonts w:eastAsia="Times New Roman" w:cs="Arial"/>
          <w:szCs w:val="24"/>
          <w:lang w:eastAsia="en-CA"/>
        </w:rPr>
      </w:pPr>
      <w:r w:rsidRPr="00F41622">
        <w:rPr>
          <w:rFonts w:eastAsia="Times New Roman" w:cs="Arial"/>
          <w:szCs w:val="24"/>
          <w:lang w:eastAsia="en-CA"/>
        </w:rPr>
        <w:lastRenderedPageBreak/>
        <w:t xml:space="preserve"> </w:t>
      </w:r>
      <w:r w:rsidR="6FBA2A13" w:rsidRPr="00F41622">
        <w:rPr>
          <w:rFonts w:eastAsia="Times New Roman" w:cs="Arial"/>
          <w:szCs w:val="24"/>
          <w:lang w:eastAsia="en-CA"/>
        </w:rPr>
        <w:t>apply</w:t>
      </w:r>
      <w:r w:rsidR="17131028" w:rsidRPr="00F41622">
        <w:rPr>
          <w:rFonts w:eastAsia="Times New Roman" w:cs="Arial"/>
          <w:szCs w:val="24"/>
          <w:lang w:eastAsia="en-CA"/>
        </w:rPr>
        <w:t>ing</w:t>
      </w:r>
      <w:r w:rsidRPr="00F41622">
        <w:rPr>
          <w:rFonts w:eastAsia="Times New Roman" w:cs="Arial"/>
          <w:szCs w:val="24"/>
          <w:lang w:eastAsia="en-CA"/>
        </w:rPr>
        <w:t xml:space="preserve"> a 10 per cent evaluation advantage to Ontario businesses that participate in the procurement process</w:t>
      </w:r>
      <w:r w:rsidR="622A273B" w:rsidRPr="00F41622">
        <w:rPr>
          <w:rFonts w:eastAsia="Times New Roman" w:cs="Arial"/>
          <w:szCs w:val="24"/>
          <w:lang w:eastAsia="en-CA"/>
        </w:rPr>
        <w:t xml:space="preserve"> if eligibility is not limited to just Ontario businesses</w:t>
      </w:r>
      <w:r w:rsidRPr="00F41622">
        <w:rPr>
          <w:rFonts w:eastAsia="Times New Roman" w:cs="Arial"/>
          <w:szCs w:val="24"/>
          <w:lang w:eastAsia="en-CA"/>
        </w:rPr>
        <w:t>.</w:t>
      </w:r>
    </w:p>
    <w:p w14:paraId="2119C3B0" w14:textId="272A3BA6" w:rsidR="00F016E5" w:rsidRPr="000202DB" w:rsidRDefault="00C34ACC" w:rsidP="00BC679E">
      <w:pPr>
        <w:spacing w:after="240" w:line="240" w:lineRule="auto"/>
        <w:rPr>
          <w:lang w:eastAsia="en-CA"/>
        </w:rPr>
      </w:pPr>
      <w:r w:rsidRPr="009634FD">
        <w:rPr>
          <w:b/>
          <w:bCs/>
        </w:rPr>
        <w:t>N</w:t>
      </w:r>
      <w:r w:rsidR="009634FD" w:rsidRPr="009634FD">
        <w:rPr>
          <w:b/>
          <w:bCs/>
        </w:rPr>
        <w:t>ote</w:t>
      </w:r>
      <w:r w:rsidR="009634FD">
        <w:t xml:space="preserve">: </w:t>
      </w:r>
      <w:r w:rsidR="00F016E5">
        <w:t>For procurements that include both goods and services, if the value of either the goods component or services component exceeds the threshold, there is no obligation to give preference to Ontario businesses.</w:t>
      </w:r>
    </w:p>
    <w:p w14:paraId="6508354B" w14:textId="2CAD807D" w:rsidR="000D31B5" w:rsidRPr="000202DB" w:rsidRDefault="000D31B5" w:rsidP="0075412A">
      <w:pPr>
        <w:pStyle w:val="Heading3"/>
      </w:pPr>
      <w:r w:rsidRPr="000202DB">
        <w:t>Application to the procurement process</w:t>
      </w:r>
    </w:p>
    <w:p w14:paraId="06F15910" w14:textId="77777777" w:rsidR="000D31B5" w:rsidRPr="000202DB" w:rsidRDefault="000D31B5" w:rsidP="00D255AC">
      <w:pPr>
        <w:pStyle w:val="ListParagraph"/>
        <w:numPr>
          <w:ilvl w:val="0"/>
          <w:numId w:val="11"/>
        </w:numPr>
        <w:spacing w:after="240" w:line="240" w:lineRule="auto"/>
        <w:ind w:left="360" w:hanging="357"/>
        <w:contextualSpacing w:val="0"/>
        <w:rPr>
          <w:b/>
          <w:bCs/>
          <w:szCs w:val="24"/>
        </w:rPr>
      </w:pPr>
      <w:r w:rsidRPr="000202DB">
        <w:rPr>
          <w:b/>
          <w:bCs/>
          <w:szCs w:val="24"/>
        </w:rPr>
        <w:t>Procurement Planning</w:t>
      </w:r>
    </w:p>
    <w:p w14:paraId="73F273FB" w14:textId="77777777" w:rsidR="000D31B5" w:rsidRPr="000202DB" w:rsidRDefault="000D31B5" w:rsidP="00D255AC">
      <w:pPr>
        <w:pStyle w:val="ListParagraph"/>
        <w:numPr>
          <w:ilvl w:val="1"/>
          <w:numId w:val="49"/>
        </w:numPr>
        <w:spacing w:before="120" w:after="240"/>
        <w:contextualSpacing w:val="0"/>
        <w:rPr>
          <w:szCs w:val="24"/>
        </w:rPr>
      </w:pPr>
      <w:r w:rsidRPr="000202DB">
        <w:rPr>
          <w:szCs w:val="24"/>
        </w:rPr>
        <w:t xml:space="preserve">Conduct market research and identify if there are Ontario businesses (as defined in </w:t>
      </w:r>
      <w:hyperlink w:anchor="Definition" w:history="1">
        <w:r w:rsidRPr="00856980">
          <w:rPr>
            <w:rStyle w:val="Hyperlink"/>
            <w:szCs w:val="24"/>
          </w:rPr>
          <w:t>Section 3</w:t>
        </w:r>
      </w:hyperlink>
      <w:r w:rsidRPr="000202DB">
        <w:rPr>
          <w:szCs w:val="24"/>
        </w:rPr>
        <w:t xml:space="preserve">) that are qualified to provide the goods or services being sought. </w:t>
      </w:r>
    </w:p>
    <w:p w14:paraId="375854BA" w14:textId="77777777" w:rsidR="000D31B5" w:rsidRPr="005A70DC" w:rsidRDefault="000D31B5" w:rsidP="00D255AC">
      <w:pPr>
        <w:pStyle w:val="ListParagraph"/>
        <w:numPr>
          <w:ilvl w:val="0"/>
          <w:numId w:val="46"/>
        </w:numPr>
        <w:spacing w:before="120" w:after="240"/>
        <w:contextualSpacing w:val="0"/>
        <w:rPr>
          <w:rFonts w:eastAsia="Times New Roman" w:cs="Arial"/>
          <w:szCs w:val="24"/>
          <w:lang w:eastAsia="en-CA"/>
        </w:rPr>
      </w:pPr>
      <w:r w:rsidRPr="005A70DC">
        <w:rPr>
          <w:rFonts w:eastAsia="Times New Roman" w:cs="Arial"/>
          <w:szCs w:val="24"/>
          <w:lang w:eastAsia="en-CA"/>
        </w:rPr>
        <w:t>To assist, public sector buyers can refer to available databases of Ontario businesses such as, but not exclusive to:</w:t>
      </w:r>
    </w:p>
    <w:p w14:paraId="59BEC232" w14:textId="09ED5205" w:rsidR="000D31B5" w:rsidRPr="000202DB" w:rsidRDefault="00312A9E" w:rsidP="00D255AC">
      <w:pPr>
        <w:pStyle w:val="ListParagraph"/>
        <w:numPr>
          <w:ilvl w:val="0"/>
          <w:numId w:val="51"/>
        </w:numPr>
        <w:spacing w:before="120" w:after="240"/>
        <w:rPr>
          <w:szCs w:val="24"/>
        </w:rPr>
      </w:pPr>
      <w:hyperlink r:id="rId12" w:anchor="section-1" w:history="1">
        <w:r w:rsidR="000D31B5" w:rsidRPr="16D46C35">
          <w:rPr>
            <w:rStyle w:val="Hyperlink"/>
          </w:rPr>
          <w:t>Ontario Business Registry</w:t>
        </w:r>
      </w:hyperlink>
    </w:p>
    <w:p w14:paraId="062CE2F1" w14:textId="77777777" w:rsidR="000D31B5" w:rsidRPr="000202DB" w:rsidRDefault="000D31B5" w:rsidP="00D255AC">
      <w:pPr>
        <w:pStyle w:val="ListParagraph"/>
        <w:numPr>
          <w:ilvl w:val="0"/>
          <w:numId w:val="51"/>
        </w:numPr>
        <w:spacing w:before="120" w:after="240"/>
        <w:rPr>
          <w:rFonts w:eastAsia="Times New Roman" w:cs="Times New Roman"/>
          <w:szCs w:val="20"/>
          <w:lang w:eastAsia="en-CA"/>
        </w:rPr>
      </w:pPr>
      <w:r>
        <w:t xml:space="preserve">Canada’s </w:t>
      </w:r>
      <w:hyperlink r:id="rId13">
        <w:r w:rsidRPr="16D46C35">
          <w:rPr>
            <w:rStyle w:val="Hyperlink"/>
            <w:rFonts w:eastAsia="Times New Roman" w:cs="Times New Roman"/>
            <w:color w:val="auto"/>
            <w:lang w:eastAsia="en-CA"/>
          </w:rPr>
          <w:t>I</w:t>
        </w:r>
        <w:r w:rsidRPr="00797E5A">
          <w:rPr>
            <w:rStyle w:val="Hyperlink"/>
          </w:rPr>
          <w:t>ndigenous Business Directory</w:t>
        </w:r>
      </w:hyperlink>
    </w:p>
    <w:p w14:paraId="030AE4D0" w14:textId="4C568062" w:rsidR="000D31B5" w:rsidRPr="0054306D" w:rsidRDefault="0054306D" w:rsidP="00665D4F">
      <w:pPr>
        <w:spacing w:before="120" w:after="240"/>
        <w:ind w:left="720"/>
        <w:rPr>
          <w:rFonts w:eastAsia="Times New Roman" w:cs="Arial"/>
          <w:szCs w:val="24"/>
          <w:lang w:eastAsia="en-CA"/>
        </w:rPr>
      </w:pPr>
      <w:r w:rsidRPr="0054306D">
        <w:rPr>
          <w:rFonts w:eastAsia="Times New Roman" w:cs="Arial"/>
          <w:b/>
          <w:bCs/>
          <w:szCs w:val="24"/>
          <w:lang w:eastAsia="en-CA"/>
        </w:rPr>
        <w:t xml:space="preserve">Note: </w:t>
      </w:r>
      <w:r w:rsidR="000D31B5" w:rsidRPr="0054306D">
        <w:rPr>
          <w:rFonts w:eastAsia="Times New Roman" w:cs="Arial"/>
          <w:szCs w:val="24"/>
          <w:lang w:eastAsia="en-CA"/>
        </w:rPr>
        <w:t xml:space="preserve">These databases are not a comprehensive and exhaustive list of Ontario businesses but are starting points for aiding buyers in conducting market research. </w:t>
      </w:r>
    </w:p>
    <w:p w14:paraId="03735C76" w14:textId="440F58AE" w:rsidR="00BC679E" w:rsidRPr="00A15488" w:rsidRDefault="000D31B5" w:rsidP="00D255AC">
      <w:pPr>
        <w:pStyle w:val="ListParagraph"/>
        <w:numPr>
          <w:ilvl w:val="0"/>
          <w:numId w:val="46"/>
        </w:numPr>
        <w:spacing w:before="120" w:after="240"/>
        <w:contextualSpacing w:val="0"/>
        <w:rPr>
          <w:rFonts w:eastAsia="Times New Roman" w:cs="Arial"/>
          <w:szCs w:val="24"/>
          <w:lang w:eastAsia="en-CA"/>
        </w:rPr>
      </w:pPr>
      <w:r w:rsidRPr="005A70DC">
        <w:rPr>
          <w:rFonts w:eastAsia="Times New Roman" w:cs="Arial"/>
          <w:szCs w:val="24"/>
          <w:lang w:eastAsia="en-CA"/>
        </w:rPr>
        <w:t xml:space="preserve">Seek appropriate </w:t>
      </w:r>
      <w:r w:rsidR="00A15488" w:rsidRPr="005A70DC">
        <w:rPr>
          <w:rFonts w:eastAsia="Times New Roman" w:cs="Arial"/>
          <w:szCs w:val="24"/>
          <w:lang w:eastAsia="en-CA"/>
        </w:rPr>
        <w:t>approvals.</w:t>
      </w:r>
    </w:p>
    <w:p w14:paraId="054FEB73" w14:textId="77777777" w:rsidR="000D31B5" w:rsidRPr="000202DB" w:rsidRDefault="000D31B5" w:rsidP="00D255AC">
      <w:pPr>
        <w:pStyle w:val="ListParagraph"/>
        <w:numPr>
          <w:ilvl w:val="0"/>
          <w:numId w:val="11"/>
        </w:numPr>
        <w:spacing w:after="240" w:line="240" w:lineRule="auto"/>
        <w:ind w:left="360" w:hanging="357"/>
        <w:contextualSpacing w:val="0"/>
        <w:rPr>
          <w:b/>
          <w:bCs/>
          <w:szCs w:val="24"/>
        </w:rPr>
      </w:pPr>
      <w:r w:rsidRPr="000202DB">
        <w:rPr>
          <w:b/>
          <w:bCs/>
          <w:szCs w:val="24"/>
        </w:rPr>
        <w:t>Procuring</w:t>
      </w:r>
    </w:p>
    <w:p w14:paraId="38F4DBD9" w14:textId="360F1D06" w:rsidR="00523DBF" w:rsidRPr="006C27BE" w:rsidRDefault="000D31B5" w:rsidP="00D255AC">
      <w:pPr>
        <w:pStyle w:val="ListParagraph"/>
        <w:numPr>
          <w:ilvl w:val="0"/>
          <w:numId w:val="46"/>
        </w:numPr>
        <w:spacing w:before="120" w:after="240"/>
        <w:contextualSpacing w:val="0"/>
        <w:rPr>
          <w:rFonts w:eastAsia="Times New Roman" w:cs="Arial"/>
          <w:szCs w:val="24"/>
          <w:lang w:eastAsia="en-CA"/>
        </w:rPr>
      </w:pPr>
      <w:r w:rsidRPr="006C27BE">
        <w:rPr>
          <w:rFonts w:eastAsia="Times New Roman" w:cs="Arial"/>
          <w:szCs w:val="24"/>
          <w:lang w:eastAsia="en-CA"/>
        </w:rPr>
        <w:t xml:space="preserve">Draft </w:t>
      </w:r>
      <w:r w:rsidR="00800585" w:rsidRPr="006C27BE">
        <w:rPr>
          <w:rFonts w:eastAsia="Times New Roman" w:cs="Arial"/>
          <w:szCs w:val="24"/>
          <w:lang w:eastAsia="en-CA"/>
        </w:rPr>
        <w:t xml:space="preserve">the </w:t>
      </w:r>
      <w:r w:rsidRPr="006C27BE">
        <w:rPr>
          <w:rFonts w:eastAsia="Times New Roman" w:cs="Arial"/>
          <w:szCs w:val="24"/>
          <w:lang w:eastAsia="en-CA"/>
        </w:rPr>
        <w:t>procurement document</w:t>
      </w:r>
      <w:r w:rsidR="00BA6F0A" w:rsidRPr="006C27BE">
        <w:rPr>
          <w:rFonts w:eastAsia="Times New Roman" w:cs="Arial"/>
          <w:szCs w:val="24"/>
          <w:lang w:eastAsia="en-CA"/>
        </w:rPr>
        <w:t xml:space="preserve"> that’s used for an invitational </w:t>
      </w:r>
      <w:r w:rsidR="00B527B2" w:rsidRPr="006C27BE">
        <w:rPr>
          <w:rFonts w:eastAsia="Times New Roman" w:cs="Arial"/>
          <w:szCs w:val="24"/>
          <w:lang w:eastAsia="en-CA"/>
        </w:rPr>
        <w:t>process.</w:t>
      </w:r>
      <w:r w:rsidRPr="006C27BE">
        <w:rPr>
          <w:rFonts w:eastAsia="Times New Roman" w:cs="Arial"/>
          <w:szCs w:val="24"/>
          <w:lang w:eastAsia="en-CA"/>
        </w:rPr>
        <w:t xml:space="preserve"> </w:t>
      </w:r>
    </w:p>
    <w:p w14:paraId="3E1855D3" w14:textId="7BB9CA02" w:rsidR="00523DBF" w:rsidRPr="006C27BE" w:rsidRDefault="00746873" w:rsidP="00D255AC">
      <w:pPr>
        <w:pStyle w:val="ListParagraph"/>
        <w:numPr>
          <w:ilvl w:val="0"/>
          <w:numId w:val="46"/>
        </w:numPr>
        <w:spacing w:before="120" w:after="240"/>
        <w:contextualSpacing w:val="0"/>
        <w:rPr>
          <w:rFonts w:eastAsia="Times New Roman" w:cs="Arial"/>
          <w:szCs w:val="24"/>
          <w:lang w:eastAsia="en-CA"/>
        </w:rPr>
      </w:pPr>
      <w:r w:rsidRPr="006C27BE">
        <w:rPr>
          <w:rFonts w:eastAsia="Times New Roman" w:cs="Arial"/>
          <w:szCs w:val="24"/>
          <w:lang w:eastAsia="en-CA"/>
        </w:rPr>
        <w:t>The</w:t>
      </w:r>
      <w:r w:rsidR="00FD568B" w:rsidRPr="006C27BE">
        <w:rPr>
          <w:rFonts w:eastAsia="Times New Roman" w:cs="Arial"/>
          <w:szCs w:val="24"/>
          <w:lang w:eastAsia="en-CA"/>
        </w:rPr>
        <w:t xml:space="preserve"> procurement document must clearly set out </w:t>
      </w:r>
      <w:r w:rsidR="00AC20FF" w:rsidRPr="006C27BE">
        <w:rPr>
          <w:rFonts w:eastAsia="Times New Roman" w:cs="Arial"/>
          <w:szCs w:val="24"/>
          <w:lang w:eastAsia="en-CA"/>
        </w:rPr>
        <w:t>how</w:t>
      </w:r>
      <w:r w:rsidR="00FD568B" w:rsidRPr="006C27BE">
        <w:rPr>
          <w:rFonts w:eastAsia="Times New Roman" w:cs="Arial"/>
          <w:szCs w:val="24"/>
          <w:lang w:eastAsia="en-CA"/>
        </w:rPr>
        <w:t xml:space="preserve"> preference will be given to Ontario businesses, whether that is by</w:t>
      </w:r>
      <w:r w:rsidR="00523DBF" w:rsidRPr="006C27BE">
        <w:rPr>
          <w:rFonts w:eastAsia="Times New Roman" w:cs="Arial"/>
          <w:szCs w:val="24"/>
          <w:lang w:eastAsia="en-CA"/>
        </w:rPr>
        <w:t>:</w:t>
      </w:r>
    </w:p>
    <w:p w14:paraId="2AB04A88" w14:textId="27E0FBCC" w:rsidR="00523DBF" w:rsidRPr="006C27BE" w:rsidRDefault="00FD568B" w:rsidP="00D255AC">
      <w:pPr>
        <w:pStyle w:val="ListParagraph"/>
        <w:numPr>
          <w:ilvl w:val="1"/>
          <w:numId w:val="46"/>
        </w:numPr>
        <w:spacing w:before="120" w:after="240"/>
        <w:rPr>
          <w:rFonts w:eastAsia="Times New Roman" w:cs="Arial"/>
          <w:szCs w:val="24"/>
          <w:lang w:eastAsia="en-CA"/>
        </w:rPr>
      </w:pPr>
      <w:r w:rsidRPr="006C27BE">
        <w:rPr>
          <w:rFonts w:eastAsia="Times New Roman" w:cs="Arial"/>
          <w:szCs w:val="24"/>
          <w:lang w:eastAsia="en-CA"/>
        </w:rPr>
        <w:t xml:space="preserve">limiting eligibility to Ontario businesses; or </w:t>
      </w:r>
    </w:p>
    <w:p w14:paraId="660860E9" w14:textId="02FD42AC" w:rsidR="000D31B5" w:rsidRPr="006C27BE" w:rsidRDefault="00FD568B" w:rsidP="00D255AC">
      <w:pPr>
        <w:pStyle w:val="ListParagraph"/>
        <w:numPr>
          <w:ilvl w:val="0"/>
          <w:numId w:val="50"/>
        </w:numPr>
        <w:spacing w:before="0" w:after="240"/>
        <w:contextualSpacing w:val="0"/>
        <w:rPr>
          <w:rFonts w:eastAsia="Times New Roman" w:cs="Arial"/>
          <w:szCs w:val="24"/>
          <w:lang w:eastAsia="en-CA"/>
        </w:rPr>
      </w:pPr>
      <w:r w:rsidRPr="006C27BE">
        <w:rPr>
          <w:rFonts w:eastAsia="Times New Roman" w:cs="Arial"/>
          <w:szCs w:val="24"/>
          <w:lang w:eastAsia="en-CA"/>
        </w:rPr>
        <w:t>allocating a 10 per cent evaluation advantage to Ontario businesses that participate</w:t>
      </w:r>
      <w:r w:rsidR="00D96C1B" w:rsidRPr="006C27BE">
        <w:rPr>
          <w:rFonts w:eastAsia="Times New Roman" w:cs="Arial"/>
          <w:szCs w:val="24"/>
          <w:lang w:eastAsia="en-CA"/>
        </w:rPr>
        <w:t>s</w:t>
      </w:r>
      <w:r w:rsidRPr="006C27BE">
        <w:rPr>
          <w:rFonts w:eastAsia="Times New Roman" w:cs="Arial"/>
          <w:szCs w:val="24"/>
          <w:lang w:eastAsia="en-CA"/>
        </w:rPr>
        <w:t xml:space="preserve"> in the procurement process.</w:t>
      </w:r>
      <w:r w:rsidR="00D96C1B" w:rsidRPr="006C27BE">
        <w:rPr>
          <w:rFonts w:eastAsia="Times New Roman" w:cs="Arial"/>
          <w:szCs w:val="24"/>
          <w:lang w:eastAsia="en-CA"/>
        </w:rPr>
        <w:t xml:space="preserve"> In a procurement that is </w:t>
      </w:r>
      <w:r w:rsidR="00D96C1B" w:rsidRPr="006C27BE">
        <w:rPr>
          <w:rFonts w:eastAsia="Times New Roman" w:cs="Arial"/>
          <w:szCs w:val="24"/>
          <w:lang w:eastAsia="en-CA"/>
        </w:rPr>
        <w:lastRenderedPageBreak/>
        <w:t xml:space="preserve">price only, a 10% evaluation advantage could </w:t>
      </w:r>
      <w:r w:rsidR="00DE00D8" w:rsidRPr="006C27BE">
        <w:rPr>
          <w:rFonts w:eastAsia="Times New Roman" w:cs="Arial"/>
          <w:szCs w:val="24"/>
          <w:lang w:eastAsia="en-CA"/>
        </w:rPr>
        <w:t xml:space="preserve">be applied to the </w:t>
      </w:r>
      <w:r w:rsidR="006C44B9" w:rsidRPr="006C27BE">
        <w:rPr>
          <w:rFonts w:eastAsia="Times New Roman" w:cs="Arial"/>
          <w:szCs w:val="24"/>
          <w:lang w:eastAsia="en-CA"/>
        </w:rPr>
        <w:t xml:space="preserve">bid price </w:t>
      </w:r>
      <w:r w:rsidR="00DE00D8" w:rsidRPr="006C27BE">
        <w:rPr>
          <w:rFonts w:eastAsia="Times New Roman" w:cs="Arial"/>
          <w:szCs w:val="24"/>
          <w:lang w:eastAsia="en-CA"/>
        </w:rPr>
        <w:t xml:space="preserve">submitted </w:t>
      </w:r>
      <w:r w:rsidR="006C44B9" w:rsidRPr="006C27BE">
        <w:rPr>
          <w:rFonts w:eastAsia="Times New Roman" w:cs="Arial"/>
          <w:szCs w:val="24"/>
          <w:lang w:eastAsia="en-CA"/>
        </w:rPr>
        <w:t>by Ontario businesses</w:t>
      </w:r>
      <w:r w:rsidR="00DE00D8" w:rsidRPr="006C27BE">
        <w:rPr>
          <w:rFonts w:eastAsia="Times New Roman" w:cs="Arial"/>
          <w:szCs w:val="24"/>
          <w:lang w:eastAsia="en-CA"/>
        </w:rPr>
        <w:t xml:space="preserve">. </w:t>
      </w:r>
      <w:r w:rsidR="00711E24">
        <w:rPr>
          <w:rFonts w:eastAsia="Times New Roman" w:cs="Arial"/>
          <w:szCs w:val="24"/>
          <w:lang w:eastAsia="en-CA"/>
        </w:rPr>
        <w:t>Please</w:t>
      </w:r>
      <w:r w:rsidR="00DE00D8" w:rsidRPr="006C27BE">
        <w:rPr>
          <w:rFonts w:eastAsia="Times New Roman" w:cs="Arial"/>
          <w:szCs w:val="24"/>
          <w:lang w:eastAsia="en-CA"/>
        </w:rPr>
        <w:t xml:space="preserve"> note this is only for evaluation only and the contract amount will be based </w:t>
      </w:r>
      <w:r w:rsidR="003F2389" w:rsidRPr="006C27BE">
        <w:rPr>
          <w:rFonts w:eastAsia="Times New Roman" w:cs="Arial"/>
          <w:szCs w:val="24"/>
          <w:lang w:eastAsia="en-CA"/>
        </w:rPr>
        <w:t>on the vendors submitted bid.</w:t>
      </w:r>
    </w:p>
    <w:p w14:paraId="6A7AA515" w14:textId="77777777" w:rsidR="000D31B5" w:rsidRPr="006C27BE" w:rsidRDefault="000D31B5" w:rsidP="00D255AC">
      <w:pPr>
        <w:pStyle w:val="ListParagraph"/>
        <w:numPr>
          <w:ilvl w:val="0"/>
          <w:numId w:val="46"/>
        </w:numPr>
        <w:spacing w:before="120" w:after="240"/>
        <w:contextualSpacing w:val="0"/>
        <w:rPr>
          <w:rFonts w:eastAsia="Times New Roman" w:cs="Arial"/>
          <w:szCs w:val="24"/>
          <w:lang w:eastAsia="en-CA"/>
        </w:rPr>
      </w:pPr>
      <w:r w:rsidRPr="006C27BE">
        <w:rPr>
          <w:rFonts w:eastAsia="Times New Roman" w:cs="Arial"/>
          <w:szCs w:val="24"/>
          <w:lang w:eastAsia="en-CA"/>
        </w:rPr>
        <w:t xml:space="preserve">Send out the invitations per requirements in the procurement directives. </w:t>
      </w:r>
    </w:p>
    <w:p w14:paraId="12468D5D" w14:textId="66429907" w:rsidR="000D31B5" w:rsidRPr="000202DB" w:rsidRDefault="000D31B5" w:rsidP="00D255AC">
      <w:pPr>
        <w:pStyle w:val="ListParagraph"/>
        <w:numPr>
          <w:ilvl w:val="0"/>
          <w:numId w:val="11"/>
        </w:numPr>
        <w:spacing w:after="240" w:line="240" w:lineRule="auto"/>
        <w:ind w:left="360" w:hanging="357"/>
        <w:contextualSpacing w:val="0"/>
        <w:rPr>
          <w:b/>
          <w:bCs/>
          <w:szCs w:val="24"/>
        </w:rPr>
      </w:pPr>
      <w:r w:rsidRPr="000202DB">
        <w:rPr>
          <w:b/>
          <w:bCs/>
          <w:szCs w:val="24"/>
        </w:rPr>
        <w:t>Evaluation of Responses</w:t>
      </w:r>
    </w:p>
    <w:p w14:paraId="092C16C2" w14:textId="1679854D" w:rsidR="000D31B5" w:rsidRPr="00167266" w:rsidRDefault="00AA0DDD" w:rsidP="00D255AC">
      <w:pPr>
        <w:pStyle w:val="ListParagraph"/>
        <w:numPr>
          <w:ilvl w:val="0"/>
          <w:numId w:val="46"/>
        </w:numPr>
        <w:spacing w:before="120" w:after="240"/>
        <w:contextualSpacing w:val="0"/>
        <w:rPr>
          <w:rFonts w:eastAsia="Times New Roman" w:cs="Arial"/>
          <w:szCs w:val="24"/>
          <w:lang w:eastAsia="en-CA"/>
        </w:rPr>
      </w:pPr>
      <w:r w:rsidRPr="00167266">
        <w:rPr>
          <w:rFonts w:eastAsia="Times New Roman" w:cs="Arial"/>
          <w:szCs w:val="24"/>
          <w:lang w:eastAsia="en-CA"/>
        </w:rPr>
        <w:t xml:space="preserve">Evaluate submissions based on </w:t>
      </w:r>
      <w:r w:rsidR="00746873" w:rsidRPr="00167266">
        <w:rPr>
          <w:rFonts w:eastAsia="Times New Roman" w:cs="Arial"/>
          <w:szCs w:val="24"/>
          <w:lang w:eastAsia="en-CA"/>
        </w:rPr>
        <w:t>the</w:t>
      </w:r>
      <w:r w:rsidR="00A90E31" w:rsidRPr="00167266">
        <w:rPr>
          <w:rFonts w:eastAsia="Times New Roman" w:cs="Arial"/>
          <w:szCs w:val="24"/>
          <w:lang w:eastAsia="en-CA"/>
        </w:rPr>
        <w:t xml:space="preserve"> published </w:t>
      </w:r>
      <w:r w:rsidR="00867E13" w:rsidRPr="00167266">
        <w:rPr>
          <w:rFonts w:eastAsia="Times New Roman" w:cs="Arial"/>
          <w:szCs w:val="24"/>
          <w:lang w:eastAsia="en-CA"/>
        </w:rPr>
        <w:t>criteria.</w:t>
      </w:r>
    </w:p>
    <w:p w14:paraId="57D029CB" w14:textId="77777777" w:rsidR="000D31B5" w:rsidRPr="000202DB" w:rsidRDefault="000D31B5" w:rsidP="00D255AC">
      <w:pPr>
        <w:pStyle w:val="ListParagraph"/>
        <w:numPr>
          <w:ilvl w:val="0"/>
          <w:numId w:val="11"/>
        </w:numPr>
        <w:spacing w:after="240" w:line="240" w:lineRule="auto"/>
        <w:ind w:left="360" w:hanging="357"/>
        <w:contextualSpacing w:val="0"/>
        <w:rPr>
          <w:b/>
          <w:bCs/>
          <w:szCs w:val="24"/>
        </w:rPr>
      </w:pPr>
      <w:r w:rsidRPr="000202DB">
        <w:rPr>
          <w:b/>
          <w:bCs/>
          <w:szCs w:val="24"/>
        </w:rPr>
        <w:t>Contract Development</w:t>
      </w:r>
    </w:p>
    <w:p w14:paraId="67E02E7B" w14:textId="77777777" w:rsidR="000D31B5" w:rsidRPr="00167266" w:rsidRDefault="000D31B5" w:rsidP="00D255AC">
      <w:pPr>
        <w:pStyle w:val="ListParagraph"/>
        <w:numPr>
          <w:ilvl w:val="0"/>
          <w:numId w:val="46"/>
        </w:numPr>
        <w:spacing w:before="120" w:after="240"/>
        <w:contextualSpacing w:val="0"/>
        <w:rPr>
          <w:rFonts w:eastAsia="Times New Roman" w:cs="Arial"/>
          <w:szCs w:val="24"/>
          <w:lang w:eastAsia="en-CA"/>
        </w:rPr>
      </w:pPr>
      <w:r w:rsidRPr="00167266">
        <w:rPr>
          <w:rFonts w:eastAsia="Times New Roman" w:cs="Arial"/>
          <w:szCs w:val="24"/>
          <w:lang w:eastAsia="en-CA"/>
        </w:rPr>
        <w:t>Contract award</w:t>
      </w:r>
    </w:p>
    <w:p w14:paraId="4555EA18" w14:textId="2956E7E3" w:rsidR="009F647A" w:rsidRPr="005C12ED" w:rsidRDefault="000D31B5" w:rsidP="00D255AC">
      <w:pPr>
        <w:pStyle w:val="ListParagraph"/>
        <w:numPr>
          <w:ilvl w:val="0"/>
          <w:numId w:val="46"/>
        </w:numPr>
        <w:spacing w:before="120" w:after="240"/>
        <w:contextualSpacing w:val="0"/>
        <w:rPr>
          <w:rFonts w:eastAsia="Times New Roman" w:cs="Arial"/>
          <w:szCs w:val="24"/>
          <w:lang w:eastAsia="en-CA"/>
        </w:rPr>
      </w:pPr>
      <w:r w:rsidRPr="00167266">
        <w:rPr>
          <w:rFonts w:eastAsia="Times New Roman" w:cs="Arial"/>
          <w:szCs w:val="24"/>
          <w:lang w:eastAsia="en-CA"/>
        </w:rPr>
        <w:t xml:space="preserve">Debrief </w:t>
      </w:r>
      <w:r w:rsidR="009F647A" w:rsidRPr="00167266">
        <w:rPr>
          <w:rFonts w:eastAsia="Times New Roman" w:cs="Arial"/>
          <w:szCs w:val="24"/>
          <w:lang w:eastAsia="en-CA"/>
        </w:rPr>
        <w:t>suppliers.</w:t>
      </w:r>
    </w:p>
    <w:p w14:paraId="7E7E3CF5" w14:textId="77777777" w:rsidR="000D31B5" w:rsidRPr="000202DB" w:rsidRDefault="000D31B5" w:rsidP="00D255AC">
      <w:pPr>
        <w:pStyle w:val="ListParagraph"/>
        <w:numPr>
          <w:ilvl w:val="0"/>
          <w:numId w:val="11"/>
        </w:numPr>
        <w:spacing w:after="240" w:line="240" w:lineRule="auto"/>
        <w:ind w:left="360" w:hanging="357"/>
        <w:contextualSpacing w:val="0"/>
        <w:rPr>
          <w:b/>
          <w:bCs/>
          <w:szCs w:val="24"/>
        </w:rPr>
      </w:pPr>
      <w:r w:rsidRPr="000202DB">
        <w:rPr>
          <w:b/>
          <w:bCs/>
          <w:szCs w:val="24"/>
        </w:rPr>
        <w:t>Contract Management &amp; Close Out</w:t>
      </w:r>
    </w:p>
    <w:p w14:paraId="4BF58B13" w14:textId="40B722AC" w:rsidR="000D31B5" w:rsidRPr="00DF4112" w:rsidRDefault="000D31B5" w:rsidP="00D255AC">
      <w:pPr>
        <w:pStyle w:val="ListParagraph"/>
        <w:numPr>
          <w:ilvl w:val="0"/>
          <w:numId w:val="46"/>
        </w:numPr>
        <w:spacing w:before="120" w:after="240"/>
        <w:contextualSpacing w:val="0"/>
        <w:rPr>
          <w:rFonts w:eastAsia="Times New Roman" w:cs="Arial"/>
          <w:szCs w:val="24"/>
          <w:lang w:eastAsia="en-CA"/>
        </w:rPr>
      </w:pPr>
      <w:r w:rsidRPr="00DF4112">
        <w:rPr>
          <w:rFonts w:eastAsia="Times New Roman" w:cs="Arial"/>
          <w:szCs w:val="24"/>
          <w:lang w:eastAsia="en-CA"/>
        </w:rPr>
        <w:t>No change in the current process</w:t>
      </w:r>
    </w:p>
    <w:p w14:paraId="235C5B1F" w14:textId="29C31B2E" w:rsidR="00954001" w:rsidRDefault="00954001" w:rsidP="00264B5C">
      <w:pPr>
        <w:spacing w:before="0" w:line="259" w:lineRule="auto"/>
        <w:rPr>
          <w:rFonts w:eastAsiaTheme="majorEastAsia" w:cstheme="majorBidi"/>
          <w:b/>
          <w:bCs/>
          <w:color w:val="006E81" w:themeColor="text2"/>
          <w:lang w:eastAsia="en-CA"/>
        </w:rPr>
      </w:pPr>
      <w:r>
        <w:rPr>
          <w:rFonts w:eastAsiaTheme="majorEastAsia" w:cstheme="majorBidi"/>
          <w:b/>
          <w:bCs/>
          <w:color w:val="006E81" w:themeColor="text2"/>
          <w:lang w:eastAsia="en-CA"/>
        </w:rPr>
        <w:br w:type="page"/>
      </w:r>
    </w:p>
    <w:p w14:paraId="25E52C59" w14:textId="63C54E5E" w:rsidR="000D31B5" w:rsidRPr="000202DB" w:rsidRDefault="000D31B5" w:rsidP="0075412A">
      <w:pPr>
        <w:pStyle w:val="Heading3"/>
      </w:pPr>
      <w:r w:rsidRPr="000202DB">
        <w:lastRenderedPageBreak/>
        <w:t>Putting it into Action</w:t>
      </w:r>
    </w:p>
    <w:p w14:paraId="63E32101" w14:textId="77777777" w:rsidR="000D31B5" w:rsidRPr="000202DB" w:rsidRDefault="000D31B5" w:rsidP="00BC679E">
      <w:pPr>
        <w:spacing w:after="240" w:line="240" w:lineRule="auto"/>
        <w:rPr>
          <w:rFonts w:eastAsia="Times New Roman" w:cs="Times New Roman"/>
          <w:b/>
          <w:lang w:eastAsia="en-CA"/>
        </w:rPr>
      </w:pPr>
      <w:r w:rsidRPr="000202DB">
        <w:rPr>
          <w:rFonts w:eastAsia="Times New Roman" w:cs="Times New Roman"/>
          <w:b/>
          <w:lang w:eastAsia="en-CA"/>
        </w:rPr>
        <w:t xml:space="preserve">Scenario </w:t>
      </w:r>
      <w:r w:rsidRPr="000202DB">
        <w:rPr>
          <w:rFonts w:eastAsia="Times New Roman" w:cs="Times New Roman"/>
          <w:b/>
          <w:bCs/>
          <w:lang w:eastAsia="en-CA"/>
        </w:rPr>
        <w:t>1</w:t>
      </w:r>
    </w:p>
    <w:p w14:paraId="1B7618EE" w14:textId="38DDBC34" w:rsidR="000D31B5" w:rsidRPr="000202DB" w:rsidRDefault="000D31B5" w:rsidP="00BC679E">
      <w:pPr>
        <w:spacing w:after="240" w:line="240" w:lineRule="auto"/>
        <w:rPr>
          <w:rFonts w:eastAsia="Times New Roman" w:cs="Times New Roman"/>
          <w:lang w:eastAsia="en-CA"/>
        </w:rPr>
      </w:pPr>
      <w:r w:rsidRPr="000202DB">
        <w:rPr>
          <w:rFonts w:eastAsia="Times New Roman" w:cs="Times New Roman"/>
          <w:lang w:eastAsia="en-CA"/>
        </w:rPr>
        <w:t xml:space="preserve">Three businesses are invited to submit a bid for the provision of goods. Since an out-of-province vendor was invited to submit a bid, </w:t>
      </w:r>
      <w:r>
        <w:rPr>
          <w:rFonts w:eastAsia="Times New Roman" w:cs="Times New Roman"/>
          <w:lang w:eastAsia="en-CA"/>
        </w:rPr>
        <w:t>a</w:t>
      </w:r>
      <w:r w:rsidRPr="000202DB">
        <w:rPr>
          <w:rFonts w:eastAsia="Times New Roman" w:cs="Times New Roman"/>
          <w:lang w:eastAsia="en-CA"/>
        </w:rPr>
        <w:t xml:space="preserve"> 10</w:t>
      </w:r>
      <w:r w:rsidR="00485CFB">
        <w:rPr>
          <w:rFonts w:eastAsia="Times New Roman" w:cs="Times New Roman"/>
          <w:lang w:eastAsia="en-CA"/>
        </w:rPr>
        <w:t xml:space="preserve"> percent</w:t>
      </w:r>
      <w:r w:rsidRPr="000202DB">
        <w:rPr>
          <w:rFonts w:eastAsia="Times New Roman" w:cs="Times New Roman"/>
          <w:lang w:eastAsia="en-CA"/>
        </w:rPr>
        <w:t>-</w:t>
      </w:r>
      <w:r w:rsidR="0076102B" w:rsidRPr="0EB761CC">
        <w:rPr>
          <w:rFonts w:eastAsia="Times New Roman" w:cs="Times New Roman"/>
          <w:lang w:eastAsia="en-CA"/>
        </w:rPr>
        <w:t xml:space="preserve">evaluation </w:t>
      </w:r>
      <w:r w:rsidR="0076102B" w:rsidRPr="000202DB">
        <w:rPr>
          <w:rFonts w:eastAsia="Times New Roman" w:cs="Times New Roman"/>
          <w:lang w:eastAsia="en-CA"/>
        </w:rPr>
        <w:t>advantage</w:t>
      </w:r>
      <w:r>
        <w:rPr>
          <w:rFonts w:eastAsia="Times New Roman" w:cs="Times New Roman"/>
          <w:lang w:eastAsia="en-CA"/>
        </w:rPr>
        <w:t xml:space="preserve"> </w:t>
      </w:r>
      <w:r w:rsidRPr="000202DB">
        <w:rPr>
          <w:rFonts w:eastAsia="Times New Roman" w:cs="Times New Roman"/>
          <w:lang w:eastAsia="en-CA"/>
        </w:rPr>
        <w:t xml:space="preserve">is added to the </w:t>
      </w:r>
      <w:r w:rsidR="00AA0E9F">
        <w:rPr>
          <w:rFonts w:eastAsia="Times New Roman" w:cs="Times New Roman"/>
          <w:lang w:eastAsia="en-CA"/>
        </w:rPr>
        <w:t xml:space="preserve">total </w:t>
      </w:r>
      <w:r w:rsidR="00077EC8">
        <w:rPr>
          <w:rFonts w:eastAsia="Times New Roman" w:cs="Times New Roman"/>
          <w:lang w:eastAsia="en-CA"/>
        </w:rPr>
        <w:t>evaluated score</w:t>
      </w:r>
      <w:r w:rsidR="0060382B">
        <w:rPr>
          <w:rFonts w:eastAsia="Times New Roman" w:cs="Times New Roman"/>
          <w:lang w:eastAsia="en-CA"/>
        </w:rPr>
        <w:t xml:space="preserve"> </w:t>
      </w:r>
      <w:r w:rsidRPr="000202DB">
        <w:rPr>
          <w:rFonts w:eastAsia="Times New Roman" w:cs="Times New Roman"/>
          <w:lang w:eastAsia="en-CA"/>
        </w:rPr>
        <w:t xml:space="preserve">of all bids submitted by Ontario businesses. As a result, Vendor A has the highest overall cumulative score and </w:t>
      </w:r>
      <w:r>
        <w:rPr>
          <w:rFonts w:eastAsia="Times New Roman" w:cs="Times New Roman"/>
          <w:lang w:eastAsia="en-CA"/>
        </w:rPr>
        <w:t>is</w:t>
      </w:r>
      <w:r w:rsidRPr="000202DB">
        <w:rPr>
          <w:rFonts w:eastAsia="Times New Roman" w:cs="Times New Roman"/>
          <w:lang w:eastAsia="en-CA"/>
        </w:rPr>
        <w:t xml:space="preserve"> awarded the contract. </w:t>
      </w:r>
    </w:p>
    <w:tbl>
      <w:tblPr>
        <w:tblStyle w:val="GridTable4-Accent1"/>
        <w:tblW w:w="5000" w:type="pct"/>
        <w:tblLook w:val="04A0" w:firstRow="1" w:lastRow="0" w:firstColumn="1" w:lastColumn="0" w:noHBand="0" w:noVBand="1"/>
        <w:tblCaption w:val="Table 4: Scenario 1"/>
        <w:tblDescription w:val="Scenario 1 is an example of adding 10 point advantage to the cumulative score of bids submitted by Ontario vendors"/>
      </w:tblPr>
      <w:tblGrid>
        <w:gridCol w:w="3113"/>
        <w:gridCol w:w="1844"/>
        <w:gridCol w:w="1560"/>
        <w:gridCol w:w="2833"/>
      </w:tblGrid>
      <w:tr w:rsidR="000D31B5" w:rsidRPr="000202DB" w14:paraId="60AE419A" w14:textId="77777777">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665" w:type="pct"/>
          </w:tcPr>
          <w:p w14:paraId="1CA715B7" w14:textId="77777777" w:rsidR="000D31B5" w:rsidRPr="000202DB" w:rsidRDefault="000D31B5" w:rsidP="00264B5C">
            <w:pPr>
              <w:spacing w:before="0"/>
              <w:contextualSpacing/>
              <w:rPr>
                <w:b w:val="0"/>
                <w:bCs w:val="0"/>
              </w:rPr>
            </w:pPr>
            <w:r w:rsidRPr="000202DB">
              <w:t>Name of Vendor</w:t>
            </w:r>
          </w:p>
        </w:tc>
        <w:tc>
          <w:tcPr>
            <w:tcW w:w="986" w:type="pct"/>
          </w:tcPr>
          <w:p w14:paraId="50F8CA3F" w14:textId="2076E22C" w:rsidR="000D31B5" w:rsidRPr="000202DB" w:rsidRDefault="000D31B5" w:rsidP="00264B5C">
            <w:pPr>
              <w:spacing w:before="0"/>
              <w:contextualSpacing/>
              <w:cnfStyle w:val="100000000000" w:firstRow="1" w:lastRow="0" w:firstColumn="0" w:lastColumn="0" w:oddVBand="0" w:evenVBand="0" w:oddHBand="0" w:evenHBand="0" w:firstRowFirstColumn="0" w:firstRowLastColumn="0" w:lastRowFirstColumn="0" w:lastRowLastColumn="0"/>
              <w:rPr>
                <w:b w:val="0"/>
                <w:bCs w:val="0"/>
              </w:rPr>
            </w:pPr>
            <w:r w:rsidRPr="000202DB">
              <w:t xml:space="preserve">Meets Definition of </w:t>
            </w:r>
            <w:r w:rsidR="0004613D">
              <w:t xml:space="preserve">an </w:t>
            </w:r>
            <w:r w:rsidRPr="000202DB">
              <w:t>“Ontario Business”</w:t>
            </w:r>
          </w:p>
        </w:tc>
        <w:tc>
          <w:tcPr>
            <w:tcW w:w="834" w:type="pct"/>
          </w:tcPr>
          <w:p w14:paraId="7373B8A3" w14:textId="18A73873" w:rsidR="000D31B5" w:rsidRPr="000202DB" w:rsidRDefault="001C4152" w:rsidP="00264B5C">
            <w:pPr>
              <w:spacing w:before="0"/>
              <w:contextualSpacing/>
              <w:cnfStyle w:val="100000000000" w:firstRow="1" w:lastRow="0" w:firstColumn="0" w:lastColumn="0" w:oddVBand="0" w:evenVBand="0" w:oddHBand="0" w:evenHBand="0" w:firstRowFirstColumn="0" w:firstRowLastColumn="0" w:lastRowFirstColumn="0" w:lastRowLastColumn="0"/>
              <w:rPr>
                <w:b w:val="0"/>
                <w:bCs w:val="0"/>
              </w:rPr>
            </w:pPr>
            <w:r>
              <w:t>Evaluated Score</w:t>
            </w:r>
          </w:p>
        </w:tc>
        <w:tc>
          <w:tcPr>
            <w:tcW w:w="1516" w:type="pct"/>
          </w:tcPr>
          <w:p w14:paraId="397F38AE" w14:textId="77777777" w:rsidR="000D31B5" w:rsidRPr="000202DB" w:rsidRDefault="000D31B5" w:rsidP="00264B5C">
            <w:pPr>
              <w:spacing w:before="0"/>
              <w:contextualSpacing/>
              <w:cnfStyle w:val="100000000000" w:firstRow="1" w:lastRow="0" w:firstColumn="0" w:lastColumn="0" w:oddVBand="0" w:evenVBand="0" w:oddHBand="0" w:evenHBand="0" w:firstRowFirstColumn="0" w:firstRowLastColumn="0" w:lastRowFirstColumn="0" w:lastRowLastColumn="0"/>
              <w:rPr>
                <w:b w:val="0"/>
                <w:bCs w:val="0"/>
              </w:rPr>
            </w:pPr>
            <w:r w:rsidRPr="000202DB">
              <w:t xml:space="preserve">Overall Cumulative Score After Applying the </w:t>
            </w:r>
            <w:r>
              <w:t>Evaluation</w:t>
            </w:r>
            <w:r w:rsidRPr="000202DB">
              <w:t xml:space="preserve"> Advantage to “Ontario Businesses”</w:t>
            </w:r>
          </w:p>
        </w:tc>
      </w:tr>
      <w:tr w:rsidR="000D31B5" w:rsidRPr="000202DB" w14:paraId="12DD6859" w14:textId="77777777">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665" w:type="pct"/>
          </w:tcPr>
          <w:p w14:paraId="45596523" w14:textId="77777777" w:rsidR="000D31B5" w:rsidRDefault="000D31B5" w:rsidP="00264B5C">
            <w:pPr>
              <w:spacing w:before="0"/>
              <w:contextualSpacing/>
              <w:rPr>
                <w:rFonts w:eastAsia="Times New Roman" w:cs="Times New Roman"/>
                <w:b w:val="0"/>
                <w:bCs w:val="0"/>
                <w:szCs w:val="24"/>
                <w:lang w:eastAsia="en-CA"/>
              </w:rPr>
            </w:pPr>
            <w:r w:rsidRPr="000202DB">
              <w:rPr>
                <w:rFonts w:eastAsia="Times New Roman" w:cs="Times New Roman"/>
                <w:szCs w:val="24"/>
                <w:lang w:eastAsia="en-CA"/>
              </w:rPr>
              <w:t xml:space="preserve">Vendor A: </w:t>
            </w:r>
            <w:r w:rsidRPr="006B0BEC">
              <w:rPr>
                <w:rFonts w:eastAsia="Times New Roman" w:cs="Times New Roman"/>
                <w:b w:val="0"/>
                <w:bCs w:val="0"/>
                <w:szCs w:val="24"/>
                <w:lang w:eastAsia="en-CA"/>
              </w:rPr>
              <w:t>Headquarters in Midland, Ontario</w:t>
            </w:r>
            <w:r>
              <w:rPr>
                <w:rFonts w:eastAsia="Times New Roman" w:cs="Times New Roman"/>
                <w:szCs w:val="24"/>
                <w:lang w:eastAsia="en-CA"/>
              </w:rPr>
              <w:t xml:space="preserve"> </w:t>
            </w:r>
          </w:p>
          <w:p w14:paraId="18179B59" w14:textId="25303476" w:rsidR="00B7051F" w:rsidRPr="000202DB" w:rsidRDefault="00B7051F" w:rsidP="00264B5C">
            <w:pPr>
              <w:spacing w:before="0"/>
              <w:contextualSpacing/>
              <w:rPr>
                <w:rFonts w:eastAsia="Times New Roman" w:cs="Times New Roman"/>
                <w:szCs w:val="24"/>
                <w:lang w:eastAsia="en-CA"/>
              </w:rPr>
            </w:pPr>
          </w:p>
        </w:tc>
        <w:tc>
          <w:tcPr>
            <w:tcW w:w="986" w:type="pct"/>
          </w:tcPr>
          <w:p w14:paraId="5CAF561C" w14:textId="77777777" w:rsidR="000D31B5" w:rsidRPr="000202DB" w:rsidRDefault="000D31B5" w:rsidP="00264B5C">
            <w:pPr>
              <w:spacing w:before="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n-CA"/>
              </w:rPr>
            </w:pPr>
            <w:r w:rsidRPr="000202DB">
              <w:rPr>
                <w:rFonts w:eastAsia="Times New Roman" w:cs="Times New Roman"/>
                <w:szCs w:val="24"/>
                <w:lang w:eastAsia="en-CA"/>
              </w:rPr>
              <w:t>YES</w:t>
            </w:r>
          </w:p>
        </w:tc>
        <w:tc>
          <w:tcPr>
            <w:tcW w:w="834" w:type="pct"/>
          </w:tcPr>
          <w:p w14:paraId="4D875387" w14:textId="77777777" w:rsidR="000D31B5" w:rsidRPr="000202DB" w:rsidRDefault="000D31B5" w:rsidP="00264B5C">
            <w:pPr>
              <w:spacing w:before="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n-CA"/>
              </w:rPr>
            </w:pPr>
            <w:r w:rsidRPr="000202DB">
              <w:rPr>
                <w:rFonts w:eastAsia="Times New Roman" w:cs="Times New Roman"/>
                <w:szCs w:val="24"/>
                <w:lang w:eastAsia="en-CA"/>
              </w:rPr>
              <w:t>87 out of 100</w:t>
            </w:r>
          </w:p>
        </w:tc>
        <w:tc>
          <w:tcPr>
            <w:tcW w:w="1516" w:type="pct"/>
          </w:tcPr>
          <w:p w14:paraId="5B9C3656" w14:textId="1ADE26B6" w:rsidR="000D31B5" w:rsidRPr="000202DB" w:rsidRDefault="00B723C4" w:rsidP="00264B5C">
            <w:pPr>
              <w:spacing w:before="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n-CA"/>
              </w:rPr>
            </w:pPr>
            <w:r>
              <w:rPr>
                <w:rFonts w:eastAsia="Times New Roman" w:cs="Times New Roman"/>
                <w:color w:val="C00000"/>
                <w:szCs w:val="24"/>
                <w:lang w:eastAsia="en-CA"/>
              </w:rPr>
              <w:t>95.7</w:t>
            </w:r>
            <w:r w:rsidR="000D31B5" w:rsidRPr="000202DB">
              <w:rPr>
                <w:rFonts w:eastAsia="Times New Roman" w:cs="Times New Roman"/>
                <w:color w:val="C00000"/>
                <w:szCs w:val="24"/>
                <w:lang w:eastAsia="en-CA"/>
              </w:rPr>
              <w:t xml:space="preserve"> out of 100</w:t>
            </w:r>
          </w:p>
        </w:tc>
      </w:tr>
      <w:tr w:rsidR="000D31B5" w:rsidRPr="000202DB" w14:paraId="2F26F5E3" w14:textId="77777777">
        <w:trPr>
          <w:trHeight w:val="401"/>
        </w:trPr>
        <w:tc>
          <w:tcPr>
            <w:cnfStyle w:val="001000000000" w:firstRow="0" w:lastRow="0" w:firstColumn="1" w:lastColumn="0" w:oddVBand="0" w:evenVBand="0" w:oddHBand="0" w:evenHBand="0" w:firstRowFirstColumn="0" w:firstRowLastColumn="0" w:lastRowFirstColumn="0" w:lastRowLastColumn="0"/>
            <w:tcW w:w="1665" w:type="pct"/>
          </w:tcPr>
          <w:p w14:paraId="52F8CF69" w14:textId="77777777" w:rsidR="000D31B5" w:rsidRPr="000202DB" w:rsidRDefault="000D31B5" w:rsidP="00264B5C">
            <w:pPr>
              <w:spacing w:before="0"/>
              <w:contextualSpacing/>
              <w:rPr>
                <w:rFonts w:eastAsia="Times New Roman" w:cs="Times New Roman"/>
                <w:szCs w:val="24"/>
                <w:lang w:eastAsia="en-CA"/>
              </w:rPr>
            </w:pPr>
            <w:r w:rsidRPr="000202DB">
              <w:rPr>
                <w:rFonts w:eastAsia="Times New Roman" w:cs="Times New Roman"/>
                <w:szCs w:val="24"/>
                <w:lang w:eastAsia="en-CA"/>
              </w:rPr>
              <w:t xml:space="preserve">Vendor B: </w:t>
            </w:r>
            <w:r w:rsidRPr="006B0BEC">
              <w:rPr>
                <w:rFonts w:eastAsia="Times New Roman" w:cs="Times New Roman"/>
                <w:b w:val="0"/>
                <w:bCs w:val="0"/>
                <w:szCs w:val="24"/>
                <w:lang w:eastAsia="en-CA"/>
              </w:rPr>
              <w:t>Out-of-province and is not an “Ontario Business” as that term is defined.</w:t>
            </w:r>
            <w:r>
              <w:rPr>
                <w:rFonts w:eastAsia="Times New Roman" w:cs="Times New Roman"/>
                <w:szCs w:val="24"/>
                <w:lang w:eastAsia="en-CA"/>
              </w:rPr>
              <w:t xml:space="preserve"> </w:t>
            </w:r>
          </w:p>
        </w:tc>
        <w:tc>
          <w:tcPr>
            <w:tcW w:w="986" w:type="pct"/>
          </w:tcPr>
          <w:p w14:paraId="2E39C803" w14:textId="77777777" w:rsidR="000D31B5" w:rsidRPr="000202DB" w:rsidRDefault="000D31B5" w:rsidP="00264B5C">
            <w:pPr>
              <w:spacing w:before="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n-CA"/>
              </w:rPr>
            </w:pPr>
            <w:r w:rsidRPr="000202DB">
              <w:rPr>
                <w:rFonts w:eastAsia="Times New Roman" w:cs="Times New Roman"/>
                <w:szCs w:val="24"/>
                <w:lang w:eastAsia="en-CA"/>
              </w:rPr>
              <w:t>NO</w:t>
            </w:r>
          </w:p>
        </w:tc>
        <w:tc>
          <w:tcPr>
            <w:tcW w:w="834" w:type="pct"/>
          </w:tcPr>
          <w:p w14:paraId="79BADEE6" w14:textId="77777777" w:rsidR="000D31B5" w:rsidRPr="000202DB" w:rsidRDefault="000D31B5" w:rsidP="00264B5C">
            <w:pPr>
              <w:spacing w:before="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n-CA"/>
              </w:rPr>
            </w:pPr>
            <w:r w:rsidRPr="000202DB">
              <w:rPr>
                <w:rFonts w:eastAsia="Times New Roman" w:cs="Times New Roman"/>
                <w:szCs w:val="24"/>
                <w:lang w:eastAsia="en-CA"/>
              </w:rPr>
              <w:t>91 out of 100</w:t>
            </w:r>
          </w:p>
        </w:tc>
        <w:tc>
          <w:tcPr>
            <w:tcW w:w="1516" w:type="pct"/>
          </w:tcPr>
          <w:p w14:paraId="11060628" w14:textId="77777777" w:rsidR="000D31B5" w:rsidRPr="000202DB" w:rsidRDefault="000D31B5" w:rsidP="00264B5C">
            <w:pPr>
              <w:spacing w:before="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n-CA"/>
              </w:rPr>
            </w:pPr>
            <w:r w:rsidRPr="000202DB">
              <w:rPr>
                <w:rFonts w:eastAsia="Times New Roman" w:cs="Times New Roman"/>
                <w:szCs w:val="24"/>
                <w:lang w:eastAsia="en-CA"/>
              </w:rPr>
              <w:t>Remains the same</w:t>
            </w:r>
          </w:p>
        </w:tc>
      </w:tr>
      <w:tr w:rsidR="000D31B5" w:rsidRPr="000202DB" w14:paraId="68DB368A" w14:textId="77777777">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665" w:type="pct"/>
          </w:tcPr>
          <w:p w14:paraId="708FC107" w14:textId="77777777" w:rsidR="000D31B5" w:rsidRDefault="000D31B5" w:rsidP="00264B5C">
            <w:pPr>
              <w:spacing w:before="0"/>
              <w:contextualSpacing/>
              <w:rPr>
                <w:rFonts w:eastAsia="Times New Roman" w:cs="Times New Roman"/>
                <w:szCs w:val="24"/>
                <w:lang w:eastAsia="en-CA"/>
              </w:rPr>
            </w:pPr>
            <w:r w:rsidRPr="000202DB">
              <w:rPr>
                <w:rFonts w:eastAsia="Times New Roman" w:cs="Times New Roman"/>
                <w:szCs w:val="24"/>
                <w:lang w:eastAsia="en-CA"/>
              </w:rPr>
              <w:t>Vendor C:</w:t>
            </w:r>
            <w:r w:rsidRPr="006B0BEC">
              <w:rPr>
                <w:rFonts w:eastAsia="Times New Roman" w:cs="Times New Roman"/>
                <w:b w:val="0"/>
                <w:bCs w:val="0"/>
                <w:szCs w:val="24"/>
                <w:lang w:eastAsia="en-CA"/>
              </w:rPr>
              <w:t xml:space="preserve"> Main office in Toronto, Ontario</w:t>
            </w:r>
          </w:p>
          <w:p w14:paraId="04B3D8A4" w14:textId="1189DA7E" w:rsidR="00B7051F" w:rsidRPr="000202DB" w:rsidRDefault="00B7051F" w:rsidP="00264B5C">
            <w:pPr>
              <w:spacing w:before="0"/>
              <w:contextualSpacing/>
              <w:rPr>
                <w:rFonts w:eastAsia="Times New Roman" w:cs="Times New Roman"/>
                <w:szCs w:val="24"/>
                <w:lang w:eastAsia="en-CA"/>
              </w:rPr>
            </w:pPr>
          </w:p>
        </w:tc>
        <w:tc>
          <w:tcPr>
            <w:tcW w:w="986" w:type="pct"/>
          </w:tcPr>
          <w:p w14:paraId="028AB086" w14:textId="77777777" w:rsidR="000D31B5" w:rsidRPr="000202DB" w:rsidRDefault="000D31B5" w:rsidP="00264B5C">
            <w:pPr>
              <w:spacing w:before="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n-CA"/>
              </w:rPr>
            </w:pPr>
            <w:r w:rsidRPr="000202DB">
              <w:rPr>
                <w:rFonts w:eastAsia="Times New Roman" w:cs="Times New Roman"/>
                <w:szCs w:val="24"/>
                <w:lang w:eastAsia="en-CA"/>
              </w:rPr>
              <w:t>YES</w:t>
            </w:r>
          </w:p>
        </w:tc>
        <w:tc>
          <w:tcPr>
            <w:tcW w:w="834" w:type="pct"/>
          </w:tcPr>
          <w:p w14:paraId="1DA2A6D9" w14:textId="77777777" w:rsidR="000D31B5" w:rsidRPr="000202DB" w:rsidRDefault="000D31B5" w:rsidP="00264B5C">
            <w:pPr>
              <w:spacing w:before="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n-CA"/>
              </w:rPr>
            </w:pPr>
            <w:r w:rsidRPr="000202DB">
              <w:rPr>
                <w:rFonts w:eastAsia="Times New Roman" w:cs="Times New Roman"/>
                <w:szCs w:val="24"/>
                <w:lang w:eastAsia="en-CA"/>
              </w:rPr>
              <w:t>75 out of 100</w:t>
            </w:r>
          </w:p>
        </w:tc>
        <w:tc>
          <w:tcPr>
            <w:tcW w:w="1516" w:type="pct"/>
          </w:tcPr>
          <w:p w14:paraId="03E7A615" w14:textId="197F0E33" w:rsidR="000D31B5" w:rsidRPr="000202DB" w:rsidRDefault="00914872" w:rsidP="00264B5C">
            <w:pPr>
              <w:spacing w:before="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n-CA"/>
              </w:rPr>
            </w:pPr>
            <w:r>
              <w:rPr>
                <w:rFonts w:eastAsia="Times New Roman" w:cs="Times New Roman"/>
                <w:szCs w:val="24"/>
                <w:lang w:eastAsia="en-CA"/>
              </w:rPr>
              <w:t>82.5</w:t>
            </w:r>
            <w:r w:rsidR="000D31B5" w:rsidRPr="000202DB">
              <w:rPr>
                <w:rFonts w:eastAsia="Times New Roman" w:cs="Times New Roman"/>
                <w:szCs w:val="24"/>
                <w:lang w:eastAsia="en-CA"/>
              </w:rPr>
              <w:t xml:space="preserve"> out of 100</w:t>
            </w:r>
          </w:p>
        </w:tc>
      </w:tr>
      <w:tr w:rsidR="00EF5225" w:rsidRPr="000202DB" w14:paraId="0BB36195" w14:textId="77777777">
        <w:trPr>
          <w:trHeight w:val="401"/>
        </w:trPr>
        <w:tc>
          <w:tcPr>
            <w:cnfStyle w:val="001000000000" w:firstRow="0" w:lastRow="0" w:firstColumn="1" w:lastColumn="0" w:oddVBand="0" w:evenVBand="0" w:oddHBand="0" w:evenHBand="0" w:firstRowFirstColumn="0" w:firstRowLastColumn="0" w:lastRowFirstColumn="0" w:lastRowLastColumn="0"/>
            <w:tcW w:w="1665" w:type="pct"/>
          </w:tcPr>
          <w:p w14:paraId="6BB0019E" w14:textId="7AABA635" w:rsidR="00EF5225" w:rsidRPr="000202DB" w:rsidRDefault="00EF5225" w:rsidP="00264B5C">
            <w:pPr>
              <w:spacing w:before="0"/>
              <w:contextualSpacing/>
              <w:rPr>
                <w:rFonts w:eastAsia="Times New Roman" w:cs="Times New Roman"/>
                <w:szCs w:val="24"/>
                <w:lang w:eastAsia="en-CA"/>
              </w:rPr>
            </w:pPr>
            <w:r w:rsidRPr="00CD4B82">
              <w:rPr>
                <w:rFonts w:eastAsia="Times New Roman" w:cs="Times New Roman"/>
                <w:szCs w:val="24"/>
                <w:lang w:eastAsia="en-CA"/>
              </w:rPr>
              <w:t xml:space="preserve">Vendor D: </w:t>
            </w:r>
            <w:r w:rsidRPr="006B0BEC">
              <w:rPr>
                <w:rFonts w:eastAsia="Times New Roman" w:cs="Times New Roman"/>
                <w:b w:val="0"/>
                <w:bCs w:val="0"/>
                <w:szCs w:val="24"/>
                <w:lang w:eastAsia="en-CA"/>
              </w:rPr>
              <w:t>Headquarters in Edmonton, Alberta but has at least 250 full-time employees in Ontario at the time of the applicable procurement process</w:t>
            </w:r>
          </w:p>
        </w:tc>
        <w:tc>
          <w:tcPr>
            <w:tcW w:w="986" w:type="pct"/>
          </w:tcPr>
          <w:p w14:paraId="5A3B074D" w14:textId="1FA7EF9E" w:rsidR="00EF5225" w:rsidRPr="000202DB" w:rsidRDefault="00161E04" w:rsidP="00264B5C">
            <w:pPr>
              <w:spacing w:before="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n-CA"/>
              </w:rPr>
            </w:pPr>
            <w:r>
              <w:rPr>
                <w:rFonts w:eastAsia="Times New Roman" w:cs="Times New Roman"/>
                <w:szCs w:val="24"/>
                <w:lang w:eastAsia="en-CA"/>
              </w:rPr>
              <w:t>YES</w:t>
            </w:r>
          </w:p>
        </w:tc>
        <w:tc>
          <w:tcPr>
            <w:tcW w:w="834" w:type="pct"/>
          </w:tcPr>
          <w:p w14:paraId="25940D62" w14:textId="5BB802CD" w:rsidR="00EF5225" w:rsidRPr="000202DB" w:rsidRDefault="00367CE4" w:rsidP="00264B5C">
            <w:pPr>
              <w:spacing w:before="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n-CA"/>
              </w:rPr>
            </w:pPr>
            <w:r>
              <w:rPr>
                <w:rFonts w:eastAsia="Times New Roman" w:cs="Times New Roman"/>
                <w:szCs w:val="24"/>
                <w:lang w:eastAsia="en-CA"/>
              </w:rPr>
              <w:t>7</w:t>
            </w:r>
            <w:r w:rsidR="005D002A">
              <w:rPr>
                <w:rFonts w:eastAsia="Times New Roman" w:cs="Times New Roman"/>
                <w:szCs w:val="24"/>
                <w:lang w:eastAsia="en-CA"/>
              </w:rPr>
              <w:t>7 out of 100</w:t>
            </w:r>
          </w:p>
        </w:tc>
        <w:tc>
          <w:tcPr>
            <w:tcW w:w="1516" w:type="pct"/>
          </w:tcPr>
          <w:p w14:paraId="3BD23E78" w14:textId="04CDC759" w:rsidR="00EF5225" w:rsidRPr="000202DB" w:rsidRDefault="009F621E" w:rsidP="00264B5C">
            <w:pPr>
              <w:spacing w:before="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n-CA"/>
              </w:rPr>
            </w:pPr>
            <w:r>
              <w:rPr>
                <w:rFonts w:eastAsia="Times New Roman" w:cs="Times New Roman"/>
                <w:szCs w:val="24"/>
                <w:lang w:eastAsia="en-CA"/>
              </w:rPr>
              <w:t>84.7</w:t>
            </w:r>
            <w:r w:rsidR="0035457A">
              <w:rPr>
                <w:rFonts w:eastAsia="Times New Roman" w:cs="Times New Roman"/>
                <w:szCs w:val="24"/>
                <w:lang w:eastAsia="en-CA"/>
              </w:rPr>
              <w:t xml:space="preserve"> </w:t>
            </w:r>
            <w:r w:rsidR="00AA0E9F">
              <w:rPr>
                <w:rFonts w:eastAsia="Times New Roman" w:cs="Times New Roman"/>
                <w:szCs w:val="24"/>
                <w:lang w:eastAsia="en-CA"/>
              </w:rPr>
              <w:t>out of 100</w:t>
            </w:r>
          </w:p>
        </w:tc>
      </w:tr>
    </w:tbl>
    <w:p w14:paraId="7C5C250E" w14:textId="389869D5" w:rsidR="00264B5C" w:rsidRPr="007F3EDB" w:rsidRDefault="00264B5C" w:rsidP="003A1AC7">
      <w:pPr>
        <w:pStyle w:val="Heading1"/>
      </w:pPr>
      <w:bookmarkStart w:id="23" w:name="_Toc174975050"/>
      <w:r w:rsidRPr="007F3EDB">
        <w:lastRenderedPageBreak/>
        <w:t>Approach 2: Procurement Opportunities B</w:t>
      </w:r>
      <w:r>
        <w:t>ELOW</w:t>
      </w:r>
      <w:r w:rsidRPr="007F3EDB">
        <w:t xml:space="preserve"> International Trade Agreement Thresholds (and above domestic trade agreement trade threshold)</w:t>
      </w:r>
      <w:bookmarkEnd w:id="23"/>
    </w:p>
    <w:p w14:paraId="725063BE" w14:textId="1F3954F1" w:rsidR="0090146F" w:rsidRPr="0090146F" w:rsidRDefault="00FC20EC" w:rsidP="006F3345">
      <w:pPr>
        <w:pStyle w:val="Heading2"/>
      </w:pPr>
      <w:bookmarkStart w:id="24" w:name="_Toc174975051"/>
      <w:r>
        <w:t>Strategy 2: Government entities must give preference to Canadian businesses wherever feasible.</w:t>
      </w:r>
      <w:bookmarkEnd w:id="24"/>
    </w:p>
    <w:p w14:paraId="3FABA0E6" w14:textId="6684B702" w:rsidR="000D31B5" w:rsidRPr="00057B70" w:rsidRDefault="000D31B5" w:rsidP="0075412A">
      <w:pPr>
        <w:pStyle w:val="Heading3"/>
      </w:pPr>
      <w:r w:rsidRPr="00057B70">
        <w:t>When to Use</w:t>
      </w:r>
    </w:p>
    <w:p w14:paraId="4B016425" w14:textId="1E12BA71" w:rsidR="009F647A" w:rsidRPr="00AC20FF" w:rsidRDefault="27E3F0ED" w:rsidP="00AC20FF">
      <w:pPr>
        <w:spacing w:before="120" w:after="240"/>
        <w:rPr>
          <w:rFonts w:eastAsia="Times New Roman" w:cs="Arial"/>
          <w:szCs w:val="24"/>
          <w:lang w:eastAsia="en-CA"/>
        </w:rPr>
      </w:pPr>
      <w:r w:rsidRPr="00AC20FF">
        <w:rPr>
          <w:rFonts w:eastAsia="Times New Roman" w:cs="Arial"/>
          <w:szCs w:val="24"/>
          <w:lang w:eastAsia="en-CA"/>
        </w:rPr>
        <w:t>When conducting an open-competitive procurement process</w:t>
      </w:r>
      <w:r w:rsidR="006E7188" w:rsidRPr="00AC20FF">
        <w:rPr>
          <w:rFonts w:eastAsia="Times New Roman" w:cs="Arial"/>
          <w:szCs w:val="24"/>
          <w:lang w:eastAsia="en-CA"/>
        </w:rPr>
        <w:footnoteReference w:id="4"/>
      </w:r>
      <w:r w:rsidRPr="00AC20FF">
        <w:rPr>
          <w:rFonts w:eastAsia="Times New Roman" w:cs="Arial"/>
          <w:szCs w:val="24"/>
          <w:lang w:eastAsia="en-CA"/>
        </w:rPr>
        <w:t xml:space="preserve"> w</w:t>
      </w:r>
      <w:r w:rsidR="000D31B5" w:rsidRPr="00AC20FF">
        <w:rPr>
          <w:rFonts w:eastAsia="Times New Roman" w:cs="Arial"/>
          <w:szCs w:val="24"/>
          <w:lang w:eastAsia="en-CA"/>
        </w:rPr>
        <w:t xml:space="preserve">here the value of the procurement is below </w:t>
      </w:r>
      <w:r w:rsidR="66DC99E6" w:rsidRPr="00AC20FF">
        <w:rPr>
          <w:rFonts w:eastAsia="Times New Roman" w:cs="Arial"/>
          <w:szCs w:val="24"/>
          <w:lang w:eastAsia="en-CA"/>
        </w:rPr>
        <w:t>the following values:</w:t>
      </w:r>
    </w:p>
    <w:tbl>
      <w:tblPr>
        <w:tblStyle w:val="GridTable4-Accent1"/>
        <w:tblW w:w="0" w:type="auto"/>
        <w:tblLook w:val="0420" w:firstRow="1" w:lastRow="0" w:firstColumn="0" w:lastColumn="0" w:noHBand="0" w:noVBand="1"/>
        <w:tblCaption w:val="Table 5: International trade agreement thresholds"/>
        <w:tblDescription w:val="International trade agreement thresholds are as follows"/>
      </w:tblPr>
      <w:tblGrid>
        <w:gridCol w:w="2547"/>
        <w:gridCol w:w="3118"/>
        <w:gridCol w:w="3402"/>
      </w:tblGrid>
      <w:tr w:rsidR="0089307C" w14:paraId="2F4BE979" w14:textId="77777777" w:rsidTr="0089307C">
        <w:trPr>
          <w:cnfStyle w:val="100000000000" w:firstRow="1" w:lastRow="0" w:firstColumn="0" w:lastColumn="0" w:oddVBand="0" w:evenVBand="0" w:oddHBand="0" w:evenHBand="0" w:firstRowFirstColumn="0" w:firstRowLastColumn="0" w:lastRowFirstColumn="0" w:lastRowLastColumn="0"/>
          <w:trHeight w:val="1163"/>
        </w:trPr>
        <w:tc>
          <w:tcPr>
            <w:tcW w:w="2547" w:type="dxa"/>
          </w:tcPr>
          <w:p w14:paraId="32468FEC" w14:textId="77777777" w:rsidR="0089307C" w:rsidRDefault="0089307C" w:rsidP="00264B5C">
            <w:pPr>
              <w:spacing w:before="0"/>
              <w:contextualSpacing/>
            </w:pPr>
            <w:r>
              <w:t>Procurement Type</w:t>
            </w:r>
          </w:p>
        </w:tc>
        <w:tc>
          <w:tcPr>
            <w:tcW w:w="3118" w:type="dxa"/>
          </w:tcPr>
          <w:p w14:paraId="60D0A099" w14:textId="77777777" w:rsidR="0089307C" w:rsidRDefault="0089307C" w:rsidP="00264B5C">
            <w:pPr>
              <w:spacing w:before="0"/>
              <w:contextualSpacing/>
            </w:pPr>
            <w:r>
              <w:t>Ministries and most agencies</w:t>
            </w:r>
          </w:p>
        </w:tc>
        <w:tc>
          <w:tcPr>
            <w:tcW w:w="3402" w:type="dxa"/>
          </w:tcPr>
          <w:p w14:paraId="14086097" w14:textId="77777777" w:rsidR="0089307C" w:rsidRDefault="0089307C" w:rsidP="00264B5C">
            <w:pPr>
              <w:spacing w:before="0"/>
              <w:contextualSpacing/>
            </w:pPr>
            <w:r>
              <w:t>School boards, publicly funded academic, health and social services entities</w:t>
            </w:r>
          </w:p>
        </w:tc>
      </w:tr>
      <w:tr w:rsidR="0089307C" w14:paraId="65F9F094" w14:textId="77777777" w:rsidTr="0089307C">
        <w:trPr>
          <w:cnfStyle w:val="000000100000" w:firstRow="0" w:lastRow="0" w:firstColumn="0" w:lastColumn="0" w:oddVBand="0" w:evenVBand="0" w:oddHBand="1" w:evenHBand="0" w:firstRowFirstColumn="0" w:firstRowLastColumn="0" w:lastRowFirstColumn="0" w:lastRowLastColumn="0"/>
          <w:trHeight w:val="432"/>
        </w:trPr>
        <w:tc>
          <w:tcPr>
            <w:tcW w:w="2547" w:type="dxa"/>
          </w:tcPr>
          <w:p w14:paraId="482061A0" w14:textId="77777777" w:rsidR="0089307C" w:rsidRDefault="0089307C" w:rsidP="00264B5C">
            <w:pPr>
              <w:spacing w:before="0"/>
              <w:contextualSpacing/>
            </w:pPr>
            <w:r>
              <w:t>Goods</w:t>
            </w:r>
          </w:p>
        </w:tc>
        <w:tc>
          <w:tcPr>
            <w:tcW w:w="3118" w:type="dxa"/>
          </w:tcPr>
          <w:p w14:paraId="3D542D5B" w14:textId="578BF1EE" w:rsidR="0089307C" w:rsidRDefault="0089307C" w:rsidP="003F2910">
            <w:pPr>
              <w:spacing w:before="0"/>
              <w:contextualSpacing/>
            </w:pPr>
            <w:r>
              <w:t>$353,300</w:t>
            </w:r>
          </w:p>
        </w:tc>
        <w:tc>
          <w:tcPr>
            <w:tcW w:w="3402" w:type="dxa"/>
          </w:tcPr>
          <w:p w14:paraId="504339C9" w14:textId="77777777" w:rsidR="0089307C" w:rsidRDefault="0089307C" w:rsidP="00264B5C">
            <w:pPr>
              <w:spacing w:before="0"/>
              <w:contextualSpacing/>
            </w:pPr>
            <w:r>
              <w:t>$353,300</w:t>
            </w:r>
          </w:p>
        </w:tc>
      </w:tr>
      <w:tr w:rsidR="0089307C" w14:paraId="7AB50C5A" w14:textId="77777777" w:rsidTr="0089307C">
        <w:trPr>
          <w:trHeight w:val="340"/>
        </w:trPr>
        <w:tc>
          <w:tcPr>
            <w:tcW w:w="2547" w:type="dxa"/>
          </w:tcPr>
          <w:p w14:paraId="31026A10" w14:textId="77777777" w:rsidR="0089307C" w:rsidRDefault="0089307C" w:rsidP="00264B5C">
            <w:pPr>
              <w:spacing w:before="0"/>
              <w:contextualSpacing/>
            </w:pPr>
            <w:r>
              <w:t>Services</w:t>
            </w:r>
          </w:p>
        </w:tc>
        <w:tc>
          <w:tcPr>
            <w:tcW w:w="3118" w:type="dxa"/>
          </w:tcPr>
          <w:p w14:paraId="7A5D21BB" w14:textId="77777777" w:rsidR="0089307C" w:rsidRDefault="0089307C" w:rsidP="00264B5C">
            <w:pPr>
              <w:spacing w:before="0"/>
              <w:contextualSpacing/>
            </w:pPr>
            <w:r>
              <w:t>$353,300</w:t>
            </w:r>
          </w:p>
        </w:tc>
        <w:tc>
          <w:tcPr>
            <w:tcW w:w="3402" w:type="dxa"/>
          </w:tcPr>
          <w:p w14:paraId="0CA0FA82" w14:textId="77777777" w:rsidR="0089307C" w:rsidRDefault="0089307C" w:rsidP="00264B5C">
            <w:pPr>
              <w:spacing w:before="0"/>
              <w:contextualSpacing/>
            </w:pPr>
            <w:r>
              <w:t>$353,300</w:t>
            </w:r>
          </w:p>
        </w:tc>
      </w:tr>
      <w:tr w:rsidR="0089307C" w14:paraId="7C6691FE" w14:textId="77777777" w:rsidTr="0089307C">
        <w:trPr>
          <w:cnfStyle w:val="000000100000" w:firstRow="0" w:lastRow="0" w:firstColumn="0" w:lastColumn="0" w:oddVBand="0" w:evenVBand="0" w:oddHBand="1" w:evenHBand="0" w:firstRowFirstColumn="0" w:firstRowLastColumn="0" w:lastRowFirstColumn="0" w:lastRowLastColumn="0"/>
          <w:trHeight w:val="340"/>
        </w:trPr>
        <w:tc>
          <w:tcPr>
            <w:tcW w:w="2547" w:type="dxa"/>
          </w:tcPr>
          <w:p w14:paraId="700F4D56" w14:textId="77777777" w:rsidR="0089307C" w:rsidRDefault="0089307C" w:rsidP="00264B5C">
            <w:pPr>
              <w:spacing w:before="0"/>
              <w:contextualSpacing/>
            </w:pPr>
            <w:r>
              <w:t>Construction</w:t>
            </w:r>
          </w:p>
        </w:tc>
        <w:tc>
          <w:tcPr>
            <w:tcW w:w="3118" w:type="dxa"/>
          </w:tcPr>
          <w:p w14:paraId="18590EDA" w14:textId="77777777" w:rsidR="0089307C" w:rsidRDefault="0089307C" w:rsidP="00264B5C">
            <w:pPr>
              <w:spacing w:before="0"/>
              <w:contextualSpacing/>
            </w:pPr>
            <w:r>
              <w:t>$8,800,00</w:t>
            </w:r>
          </w:p>
        </w:tc>
        <w:tc>
          <w:tcPr>
            <w:tcW w:w="3402" w:type="dxa"/>
          </w:tcPr>
          <w:p w14:paraId="1E561E84" w14:textId="77777777" w:rsidR="0089307C" w:rsidRDefault="0089307C" w:rsidP="00264B5C">
            <w:pPr>
              <w:spacing w:before="0"/>
              <w:contextualSpacing/>
            </w:pPr>
            <w:r>
              <w:t>$8,800,00</w:t>
            </w:r>
          </w:p>
        </w:tc>
      </w:tr>
    </w:tbl>
    <w:p w14:paraId="6EE960D2" w14:textId="1D2E4347" w:rsidR="3132278A" w:rsidRPr="007D0EAD" w:rsidRDefault="3132278A" w:rsidP="0075412A">
      <w:pPr>
        <w:pStyle w:val="Heading3"/>
      </w:pPr>
      <w:r w:rsidRPr="007D0EAD">
        <w:t>Description of Strategy</w:t>
      </w:r>
    </w:p>
    <w:p w14:paraId="3CF2AD54" w14:textId="57E9FE24" w:rsidR="0070318F" w:rsidRPr="00AC20FF" w:rsidRDefault="50823576" w:rsidP="00D255AC">
      <w:pPr>
        <w:pStyle w:val="ListParagraph"/>
        <w:numPr>
          <w:ilvl w:val="0"/>
          <w:numId w:val="46"/>
        </w:numPr>
        <w:spacing w:before="120" w:after="240"/>
        <w:contextualSpacing w:val="0"/>
        <w:rPr>
          <w:rFonts w:eastAsia="Times New Roman" w:cs="Arial"/>
          <w:szCs w:val="24"/>
          <w:lang w:eastAsia="en-CA"/>
        </w:rPr>
      </w:pPr>
      <w:r w:rsidRPr="00AC20FF">
        <w:rPr>
          <w:rFonts w:eastAsia="Times New Roman" w:cs="Arial"/>
          <w:szCs w:val="24"/>
          <w:lang w:eastAsia="en-CA"/>
        </w:rPr>
        <w:t xml:space="preserve">Wherever feasible </w:t>
      </w:r>
      <w:r w:rsidR="00CF2429" w:rsidRPr="00AC20FF">
        <w:rPr>
          <w:rFonts w:eastAsia="Times New Roman" w:cs="Arial"/>
          <w:szCs w:val="24"/>
          <w:lang w:eastAsia="en-CA"/>
        </w:rPr>
        <w:t>preference must</w:t>
      </w:r>
      <w:r w:rsidR="006E4BEB" w:rsidRPr="00AC20FF">
        <w:rPr>
          <w:rFonts w:eastAsia="Times New Roman" w:cs="Arial"/>
          <w:szCs w:val="24"/>
          <w:lang w:eastAsia="en-CA"/>
        </w:rPr>
        <w:t xml:space="preserve"> be given to Canadian businesses by</w:t>
      </w:r>
      <w:r w:rsidR="24FFB42B" w:rsidRPr="00AC20FF">
        <w:rPr>
          <w:rFonts w:eastAsia="Times New Roman" w:cs="Arial"/>
          <w:szCs w:val="24"/>
          <w:lang w:eastAsia="en-CA"/>
        </w:rPr>
        <w:t xml:space="preserve"> either</w:t>
      </w:r>
      <w:r w:rsidR="0070318F" w:rsidRPr="00AC20FF">
        <w:rPr>
          <w:rFonts w:eastAsia="Times New Roman" w:cs="Arial"/>
          <w:szCs w:val="24"/>
          <w:lang w:eastAsia="en-CA"/>
        </w:rPr>
        <w:t>:</w:t>
      </w:r>
    </w:p>
    <w:p w14:paraId="3725279C" w14:textId="79208535" w:rsidR="0070318F" w:rsidRPr="00AC20FF" w:rsidRDefault="006E4BEB" w:rsidP="00D255AC">
      <w:pPr>
        <w:pStyle w:val="ListParagraph"/>
        <w:numPr>
          <w:ilvl w:val="1"/>
          <w:numId w:val="46"/>
        </w:numPr>
        <w:spacing w:before="120" w:after="240"/>
        <w:contextualSpacing w:val="0"/>
        <w:rPr>
          <w:rFonts w:eastAsia="Times New Roman" w:cs="Arial"/>
          <w:szCs w:val="24"/>
          <w:lang w:eastAsia="en-CA"/>
        </w:rPr>
      </w:pPr>
      <w:r w:rsidRPr="00AC20FF">
        <w:rPr>
          <w:rFonts w:eastAsia="Times New Roman" w:cs="Arial"/>
          <w:szCs w:val="24"/>
          <w:lang w:eastAsia="en-CA"/>
        </w:rPr>
        <w:lastRenderedPageBreak/>
        <w:t xml:space="preserve">limiting eligibility to participate in the procurement process to </w:t>
      </w:r>
      <w:r w:rsidR="0058000F" w:rsidRPr="00AC20FF">
        <w:rPr>
          <w:rFonts w:eastAsia="Times New Roman" w:cs="Arial"/>
          <w:szCs w:val="24"/>
          <w:lang w:eastAsia="en-CA"/>
        </w:rPr>
        <w:t xml:space="preserve">Canadian </w:t>
      </w:r>
      <w:r w:rsidRPr="00AC20FF">
        <w:rPr>
          <w:rFonts w:eastAsia="Times New Roman" w:cs="Arial"/>
          <w:szCs w:val="24"/>
          <w:lang w:eastAsia="en-CA"/>
        </w:rPr>
        <w:t>businesses; or</w:t>
      </w:r>
      <w:r w:rsidRPr="00AC20FF" w:rsidDel="004E4013">
        <w:rPr>
          <w:rFonts w:eastAsia="Times New Roman" w:cs="Arial"/>
          <w:szCs w:val="24"/>
          <w:lang w:eastAsia="en-CA"/>
        </w:rPr>
        <w:t xml:space="preserve"> </w:t>
      </w:r>
      <w:r w:rsidRPr="00AC20FF">
        <w:rPr>
          <w:rFonts w:eastAsia="Times New Roman" w:cs="Arial"/>
          <w:szCs w:val="24"/>
          <w:lang w:eastAsia="en-CA"/>
        </w:rPr>
        <w:t> </w:t>
      </w:r>
    </w:p>
    <w:p w14:paraId="4C4FEC36" w14:textId="473012AB" w:rsidR="006E4BEB" w:rsidRPr="00AC20FF" w:rsidRDefault="006E4BEB" w:rsidP="00D255AC">
      <w:pPr>
        <w:pStyle w:val="ListParagraph"/>
        <w:numPr>
          <w:ilvl w:val="1"/>
          <w:numId w:val="46"/>
        </w:numPr>
        <w:spacing w:before="120" w:after="240"/>
        <w:contextualSpacing w:val="0"/>
        <w:rPr>
          <w:rFonts w:eastAsia="Times New Roman" w:cs="Arial"/>
          <w:szCs w:val="24"/>
          <w:lang w:eastAsia="en-CA"/>
        </w:rPr>
      </w:pPr>
      <w:r w:rsidRPr="00AC20FF">
        <w:rPr>
          <w:rFonts w:eastAsia="Times New Roman" w:cs="Arial"/>
          <w:szCs w:val="24"/>
          <w:lang w:eastAsia="en-CA"/>
        </w:rPr>
        <w:t xml:space="preserve">if eligibility is not limited </w:t>
      </w:r>
      <w:r w:rsidR="00FB6E49" w:rsidRPr="00AC20FF">
        <w:rPr>
          <w:rFonts w:eastAsia="Times New Roman" w:cs="Arial"/>
          <w:szCs w:val="24"/>
          <w:lang w:eastAsia="en-CA"/>
        </w:rPr>
        <w:t>to Canadian</w:t>
      </w:r>
      <w:r w:rsidR="001A5921" w:rsidRPr="00AC20FF">
        <w:rPr>
          <w:rFonts w:eastAsia="Times New Roman" w:cs="Arial"/>
          <w:szCs w:val="24"/>
          <w:lang w:eastAsia="en-CA"/>
        </w:rPr>
        <w:t xml:space="preserve"> businesses</w:t>
      </w:r>
      <w:r w:rsidR="00803CB7" w:rsidRPr="00AC20FF">
        <w:rPr>
          <w:rFonts w:eastAsia="Times New Roman" w:cs="Arial"/>
          <w:szCs w:val="24"/>
          <w:lang w:eastAsia="en-CA"/>
        </w:rPr>
        <w:t xml:space="preserve">, </w:t>
      </w:r>
      <w:r w:rsidR="002C14DE">
        <w:rPr>
          <w:rFonts w:eastAsia="Times New Roman" w:cs="Arial"/>
          <w:szCs w:val="24"/>
          <w:lang w:eastAsia="en-CA"/>
        </w:rPr>
        <w:t xml:space="preserve">then </w:t>
      </w:r>
      <w:r w:rsidR="003E2735" w:rsidRPr="00AC20FF">
        <w:rPr>
          <w:rFonts w:eastAsia="Times New Roman" w:cs="Arial"/>
          <w:szCs w:val="24"/>
          <w:lang w:eastAsia="en-CA"/>
        </w:rPr>
        <w:t>allocate a</w:t>
      </w:r>
      <w:r w:rsidRPr="00AC20FF">
        <w:rPr>
          <w:rFonts w:eastAsia="Times New Roman" w:cs="Arial"/>
          <w:szCs w:val="24"/>
          <w:lang w:eastAsia="en-CA"/>
        </w:rPr>
        <w:t xml:space="preserve"> 10 per cent evaluation advantage to </w:t>
      </w:r>
      <w:r w:rsidR="00FB6E49" w:rsidRPr="00AC20FF">
        <w:rPr>
          <w:rFonts w:eastAsia="Times New Roman" w:cs="Arial"/>
          <w:szCs w:val="24"/>
          <w:lang w:eastAsia="en-CA"/>
        </w:rPr>
        <w:t xml:space="preserve">Canadian </w:t>
      </w:r>
      <w:r w:rsidRPr="00AC20FF">
        <w:rPr>
          <w:rFonts w:eastAsia="Times New Roman" w:cs="Arial"/>
          <w:szCs w:val="24"/>
          <w:lang w:eastAsia="en-CA"/>
        </w:rPr>
        <w:t>businesses that participate in the procurement process.</w:t>
      </w:r>
    </w:p>
    <w:p w14:paraId="5568AE9F" w14:textId="2D0519D1" w:rsidR="007A7776" w:rsidRPr="00E80258" w:rsidRDefault="00847A12" w:rsidP="00BC679E">
      <w:pPr>
        <w:spacing w:after="240"/>
        <w:rPr>
          <w:rFonts w:eastAsia="Times New Roman" w:cs="Times New Roman"/>
          <w:b/>
          <w:bCs/>
          <w:szCs w:val="20"/>
          <w:lang w:eastAsia="en-CA"/>
        </w:rPr>
      </w:pPr>
      <w:r w:rsidRPr="00F533CD">
        <w:t xml:space="preserve">If the </w:t>
      </w:r>
      <w:r w:rsidR="003E2735" w:rsidRPr="00F533CD">
        <w:t xml:space="preserve">buyer </w:t>
      </w:r>
      <w:r w:rsidR="00244C9C" w:rsidRPr="00F533CD">
        <w:t>wishes</w:t>
      </w:r>
      <w:r w:rsidRPr="00F533CD">
        <w:t xml:space="preserve"> to include any other strategies, then </w:t>
      </w:r>
      <w:r w:rsidR="00ED68D5">
        <w:t xml:space="preserve">they </w:t>
      </w:r>
      <w:r w:rsidR="00E80258">
        <w:t>may do</w:t>
      </w:r>
      <w:r w:rsidR="004F7BD9">
        <w:t xml:space="preserve"> so.</w:t>
      </w:r>
      <w:r w:rsidR="00E80258">
        <w:t xml:space="preserve"> </w:t>
      </w:r>
    </w:p>
    <w:p w14:paraId="609E6B64" w14:textId="33C5B10E" w:rsidR="000D31B5" w:rsidRPr="000202DB" w:rsidRDefault="000D31B5" w:rsidP="0075412A">
      <w:pPr>
        <w:pStyle w:val="Heading3"/>
      </w:pPr>
      <w:r w:rsidRPr="713D20C5">
        <w:t>Application to the procurement process</w:t>
      </w:r>
    </w:p>
    <w:p w14:paraId="388AC7D3" w14:textId="77777777" w:rsidR="000D31B5" w:rsidRPr="000202DB" w:rsidRDefault="000D31B5" w:rsidP="00D255AC">
      <w:pPr>
        <w:pStyle w:val="ListParagraph"/>
        <w:numPr>
          <w:ilvl w:val="0"/>
          <w:numId w:val="52"/>
        </w:numPr>
        <w:spacing w:after="240" w:line="240" w:lineRule="auto"/>
        <w:contextualSpacing w:val="0"/>
        <w:rPr>
          <w:b/>
          <w:bCs/>
          <w:szCs w:val="24"/>
        </w:rPr>
      </w:pPr>
      <w:r w:rsidRPr="000202DB">
        <w:rPr>
          <w:b/>
          <w:bCs/>
          <w:szCs w:val="24"/>
        </w:rPr>
        <w:t>Procurement Planning</w:t>
      </w:r>
    </w:p>
    <w:p w14:paraId="3F20C417" w14:textId="66D6C72F" w:rsidR="000D31B5" w:rsidRPr="005C739E" w:rsidRDefault="000D31B5" w:rsidP="00D255AC">
      <w:pPr>
        <w:pStyle w:val="ListParagraph"/>
        <w:numPr>
          <w:ilvl w:val="0"/>
          <w:numId w:val="46"/>
        </w:numPr>
        <w:spacing w:before="120" w:after="240"/>
        <w:contextualSpacing w:val="0"/>
        <w:rPr>
          <w:rFonts w:eastAsia="Times New Roman" w:cs="Arial"/>
          <w:szCs w:val="24"/>
          <w:lang w:eastAsia="en-CA"/>
        </w:rPr>
      </w:pPr>
      <w:r w:rsidRPr="005C739E">
        <w:rPr>
          <w:rFonts w:eastAsia="Times New Roman" w:cs="Arial"/>
          <w:szCs w:val="24"/>
          <w:lang w:eastAsia="en-CA"/>
        </w:rPr>
        <w:t>Conduct market research and identify if there are Canadian businesses that qualify to provide the goods or services being sought</w:t>
      </w:r>
      <w:r w:rsidR="00EF45EE" w:rsidRPr="005C739E">
        <w:rPr>
          <w:rFonts w:eastAsia="Times New Roman" w:cs="Arial"/>
          <w:szCs w:val="24"/>
          <w:lang w:eastAsia="en-CA"/>
        </w:rPr>
        <w:t>.</w:t>
      </w:r>
    </w:p>
    <w:p w14:paraId="3CB1A6CA" w14:textId="0C0E6E25" w:rsidR="00BC679E" w:rsidRPr="005C739E" w:rsidRDefault="000D31B5" w:rsidP="00D255AC">
      <w:pPr>
        <w:pStyle w:val="ListParagraph"/>
        <w:numPr>
          <w:ilvl w:val="0"/>
          <w:numId w:val="46"/>
        </w:numPr>
        <w:spacing w:before="120" w:after="240"/>
        <w:contextualSpacing w:val="0"/>
        <w:rPr>
          <w:rFonts w:eastAsia="Times New Roman" w:cs="Arial"/>
          <w:szCs w:val="24"/>
          <w:lang w:eastAsia="en-CA"/>
        </w:rPr>
      </w:pPr>
      <w:r w:rsidRPr="005C739E">
        <w:rPr>
          <w:rFonts w:eastAsia="Times New Roman" w:cs="Arial"/>
          <w:szCs w:val="24"/>
          <w:lang w:eastAsia="en-CA"/>
        </w:rPr>
        <w:t>Seek appropriate approvals</w:t>
      </w:r>
      <w:r w:rsidR="00C9368A" w:rsidRPr="005C739E">
        <w:rPr>
          <w:rFonts w:eastAsia="Times New Roman" w:cs="Arial"/>
          <w:szCs w:val="24"/>
          <w:lang w:eastAsia="en-CA"/>
        </w:rPr>
        <w:t>.</w:t>
      </w:r>
    </w:p>
    <w:p w14:paraId="5A175FED" w14:textId="77777777" w:rsidR="000D31B5" w:rsidRPr="000202DB" w:rsidRDefault="000D31B5" w:rsidP="00D255AC">
      <w:pPr>
        <w:pStyle w:val="ListParagraph"/>
        <w:numPr>
          <w:ilvl w:val="0"/>
          <w:numId w:val="52"/>
        </w:numPr>
        <w:spacing w:after="240" w:line="240" w:lineRule="auto"/>
        <w:contextualSpacing w:val="0"/>
        <w:rPr>
          <w:b/>
          <w:bCs/>
          <w:szCs w:val="24"/>
        </w:rPr>
      </w:pPr>
      <w:r w:rsidRPr="000202DB">
        <w:rPr>
          <w:b/>
          <w:bCs/>
          <w:szCs w:val="24"/>
        </w:rPr>
        <w:t>Procuring</w:t>
      </w:r>
    </w:p>
    <w:p w14:paraId="4B7946C1" w14:textId="3975A245" w:rsidR="00BD761B" w:rsidRPr="005C739E" w:rsidRDefault="00BD761B" w:rsidP="00D255AC">
      <w:pPr>
        <w:pStyle w:val="ListParagraph"/>
        <w:numPr>
          <w:ilvl w:val="0"/>
          <w:numId w:val="46"/>
        </w:numPr>
        <w:spacing w:before="120" w:after="240"/>
        <w:contextualSpacing w:val="0"/>
        <w:rPr>
          <w:rFonts w:eastAsia="Times New Roman" w:cs="Arial"/>
          <w:szCs w:val="24"/>
          <w:lang w:eastAsia="en-CA"/>
        </w:rPr>
      </w:pPr>
      <w:r w:rsidRPr="005C739E">
        <w:rPr>
          <w:rFonts w:eastAsia="Times New Roman" w:cs="Arial"/>
          <w:szCs w:val="24"/>
          <w:lang w:eastAsia="en-CA"/>
        </w:rPr>
        <w:t xml:space="preserve">Draft </w:t>
      </w:r>
      <w:r w:rsidR="00746873" w:rsidRPr="005C739E">
        <w:rPr>
          <w:rFonts w:eastAsia="Times New Roman" w:cs="Arial"/>
          <w:szCs w:val="24"/>
          <w:lang w:eastAsia="en-CA"/>
        </w:rPr>
        <w:t xml:space="preserve">the </w:t>
      </w:r>
      <w:r w:rsidRPr="005C739E">
        <w:rPr>
          <w:rFonts w:eastAsia="Times New Roman" w:cs="Arial"/>
          <w:szCs w:val="24"/>
          <w:lang w:eastAsia="en-CA"/>
        </w:rPr>
        <w:t>procurement document (e.g., Request for Bids</w:t>
      </w:r>
      <w:r w:rsidR="00F4732E" w:rsidRPr="005C739E">
        <w:rPr>
          <w:rFonts w:eastAsia="Times New Roman" w:cs="Arial"/>
          <w:szCs w:val="24"/>
          <w:lang w:eastAsia="en-CA"/>
        </w:rPr>
        <w:t>).</w:t>
      </w:r>
    </w:p>
    <w:p w14:paraId="63E94CB6" w14:textId="321FC3DB" w:rsidR="00C17462" w:rsidRPr="005C739E" w:rsidRDefault="00746873" w:rsidP="00D255AC">
      <w:pPr>
        <w:pStyle w:val="ListParagraph"/>
        <w:numPr>
          <w:ilvl w:val="0"/>
          <w:numId w:val="46"/>
        </w:numPr>
        <w:spacing w:before="120" w:after="240"/>
        <w:contextualSpacing w:val="0"/>
        <w:rPr>
          <w:rFonts w:eastAsia="Times New Roman" w:cs="Arial"/>
          <w:szCs w:val="24"/>
          <w:lang w:eastAsia="en-CA"/>
        </w:rPr>
      </w:pPr>
      <w:r w:rsidRPr="005C739E">
        <w:rPr>
          <w:rFonts w:eastAsia="Times New Roman" w:cs="Arial"/>
          <w:szCs w:val="24"/>
          <w:lang w:eastAsia="en-CA"/>
        </w:rPr>
        <w:t>The</w:t>
      </w:r>
      <w:r w:rsidR="00C17462" w:rsidRPr="005C739E">
        <w:rPr>
          <w:rFonts w:eastAsia="Times New Roman" w:cs="Arial"/>
          <w:szCs w:val="24"/>
          <w:lang w:eastAsia="en-CA"/>
        </w:rPr>
        <w:t xml:space="preserve"> procurement document must clearly set out </w:t>
      </w:r>
      <w:proofErr w:type="gramStart"/>
      <w:r w:rsidR="00C17462" w:rsidRPr="005C739E">
        <w:rPr>
          <w:rFonts w:eastAsia="Times New Roman" w:cs="Arial"/>
          <w:szCs w:val="24"/>
          <w:lang w:eastAsia="en-CA"/>
        </w:rPr>
        <w:t>the manner by which</w:t>
      </w:r>
      <w:proofErr w:type="gramEnd"/>
      <w:r w:rsidR="00C17462" w:rsidRPr="005C739E">
        <w:rPr>
          <w:rFonts w:eastAsia="Times New Roman" w:cs="Arial"/>
          <w:szCs w:val="24"/>
          <w:lang w:eastAsia="en-CA"/>
        </w:rPr>
        <w:t xml:space="preserve"> preference will be given to </w:t>
      </w:r>
      <w:r w:rsidR="00DD1356" w:rsidRPr="005C739E">
        <w:rPr>
          <w:rFonts w:eastAsia="Times New Roman" w:cs="Arial"/>
          <w:szCs w:val="24"/>
          <w:lang w:eastAsia="en-CA"/>
        </w:rPr>
        <w:t>Canadian</w:t>
      </w:r>
      <w:r w:rsidR="00C17462" w:rsidRPr="005C739E">
        <w:rPr>
          <w:rFonts w:eastAsia="Times New Roman" w:cs="Arial"/>
          <w:szCs w:val="24"/>
          <w:lang w:eastAsia="en-CA"/>
        </w:rPr>
        <w:t xml:space="preserve"> businesses, whether that is by:</w:t>
      </w:r>
    </w:p>
    <w:p w14:paraId="0830CC5F" w14:textId="3DCB5654" w:rsidR="00C17462" w:rsidRPr="005C739E" w:rsidRDefault="00C17462" w:rsidP="00D255AC">
      <w:pPr>
        <w:pStyle w:val="ListParagraph"/>
        <w:numPr>
          <w:ilvl w:val="1"/>
          <w:numId w:val="46"/>
        </w:numPr>
        <w:spacing w:before="120" w:after="240"/>
        <w:rPr>
          <w:rFonts w:eastAsia="Times New Roman" w:cs="Arial"/>
          <w:szCs w:val="24"/>
          <w:lang w:eastAsia="en-CA"/>
        </w:rPr>
      </w:pPr>
      <w:r w:rsidRPr="005C739E">
        <w:rPr>
          <w:rFonts w:eastAsia="Times New Roman" w:cs="Arial"/>
          <w:szCs w:val="24"/>
          <w:lang w:eastAsia="en-CA"/>
        </w:rPr>
        <w:t xml:space="preserve">limiting eligibility to </w:t>
      </w:r>
      <w:r w:rsidR="00DD1356" w:rsidRPr="005C739E">
        <w:rPr>
          <w:rFonts w:eastAsia="Times New Roman" w:cs="Arial"/>
          <w:szCs w:val="24"/>
          <w:lang w:eastAsia="en-CA"/>
        </w:rPr>
        <w:t>Canadian</w:t>
      </w:r>
      <w:r w:rsidRPr="005C739E">
        <w:rPr>
          <w:rFonts w:eastAsia="Times New Roman" w:cs="Arial"/>
          <w:szCs w:val="24"/>
          <w:lang w:eastAsia="en-CA"/>
        </w:rPr>
        <w:t xml:space="preserve"> businesses; or </w:t>
      </w:r>
    </w:p>
    <w:p w14:paraId="531CFB5A" w14:textId="1B0826E4" w:rsidR="00C17462" w:rsidRPr="005C739E" w:rsidRDefault="00C17462" w:rsidP="00D255AC">
      <w:pPr>
        <w:pStyle w:val="ListParagraph"/>
        <w:numPr>
          <w:ilvl w:val="1"/>
          <w:numId w:val="46"/>
        </w:numPr>
        <w:spacing w:before="120" w:after="240"/>
        <w:contextualSpacing w:val="0"/>
        <w:rPr>
          <w:rFonts w:eastAsia="Times New Roman" w:cs="Arial"/>
          <w:szCs w:val="24"/>
          <w:lang w:eastAsia="en-CA"/>
        </w:rPr>
      </w:pPr>
      <w:r w:rsidRPr="005C739E">
        <w:rPr>
          <w:rFonts w:eastAsia="Times New Roman" w:cs="Arial"/>
          <w:szCs w:val="24"/>
          <w:lang w:eastAsia="en-CA"/>
        </w:rPr>
        <w:t xml:space="preserve">allocating a 10 per cent evaluation advantage to </w:t>
      </w:r>
      <w:r w:rsidR="00DD1356" w:rsidRPr="005C739E">
        <w:rPr>
          <w:rFonts w:eastAsia="Times New Roman" w:cs="Arial"/>
          <w:szCs w:val="24"/>
          <w:lang w:eastAsia="en-CA"/>
        </w:rPr>
        <w:t xml:space="preserve">Canadian </w:t>
      </w:r>
      <w:r w:rsidRPr="005C739E">
        <w:rPr>
          <w:rFonts w:eastAsia="Times New Roman" w:cs="Arial"/>
          <w:szCs w:val="24"/>
          <w:lang w:eastAsia="en-CA"/>
        </w:rPr>
        <w:t>businesses that participate in the procurement process.</w:t>
      </w:r>
    </w:p>
    <w:p w14:paraId="0C825585" w14:textId="469EE170" w:rsidR="000D31B5" w:rsidRPr="005C739E" w:rsidRDefault="000D31B5" w:rsidP="00D255AC">
      <w:pPr>
        <w:pStyle w:val="ListParagraph"/>
        <w:numPr>
          <w:ilvl w:val="0"/>
          <w:numId w:val="46"/>
        </w:numPr>
        <w:spacing w:before="120" w:after="240"/>
        <w:contextualSpacing w:val="0"/>
        <w:rPr>
          <w:rFonts w:eastAsia="Times New Roman" w:cs="Arial"/>
          <w:szCs w:val="24"/>
          <w:lang w:eastAsia="en-CA"/>
        </w:rPr>
      </w:pPr>
      <w:r w:rsidRPr="005C739E">
        <w:rPr>
          <w:rFonts w:eastAsia="Times New Roman" w:cs="Arial"/>
          <w:szCs w:val="24"/>
          <w:lang w:eastAsia="en-CA"/>
        </w:rPr>
        <w:t xml:space="preserve">Post tender on </w:t>
      </w:r>
      <w:r w:rsidR="00A6581F" w:rsidRPr="005C739E">
        <w:rPr>
          <w:rFonts w:eastAsia="Times New Roman" w:cs="Arial"/>
          <w:szCs w:val="24"/>
          <w:lang w:eastAsia="en-CA"/>
        </w:rPr>
        <w:t xml:space="preserve">the </w:t>
      </w:r>
      <w:r w:rsidRPr="005C739E">
        <w:rPr>
          <w:rFonts w:eastAsia="Times New Roman" w:cs="Arial"/>
          <w:szCs w:val="24"/>
          <w:lang w:eastAsia="en-CA"/>
        </w:rPr>
        <w:t xml:space="preserve">organization’s electronic tendering </w:t>
      </w:r>
      <w:r w:rsidR="00963A20" w:rsidRPr="005C739E">
        <w:rPr>
          <w:rFonts w:eastAsia="Times New Roman" w:cs="Arial"/>
          <w:szCs w:val="24"/>
          <w:lang w:eastAsia="en-CA"/>
        </w:rPr>
        <w:t>portal.</w:t>
      </w:r>
    </w:p>
    <w:p w14:paraId="7F178FE7" w14:textId="77777777" w:rsidR="000D31B5" w:rsidRPr="000202DB" w:rsidRDefault="000D31B5" w:rsidP="00D255AC">
      <w:pPr>
        <w:pStyle w:val="ListParagraph"/>
        <w:numPr>
          <w:ilvl w:val="0"/>
          <w:numId w:val="52"/>
        </w:numPr>
        <w:spacing w:after="240" w:line="240" w:lineRule="auto"/>
        <w:contextualSpacing w:val="0"/>
        <w:rPr>
          <w:b/>
          <w:bCs/>
          <w:szCs w:val="24"/>
        </w:rPr>
      </w:pPr>
      <w:r w:rsidRPr="000202DB">
        <w:rPr>
          <w:b/>
          <w:bCs/>
          <w:szCs w:val="24"/>
        </w:rPr>
        <w:t>Evaluation of Responses</w:t>
      </w:r>
    </w:p>
    <w:p w14:paraId="47D6EE76" w14:textId="73DF93FA" w:rsidR="00BC679E" w:rsidRPr="005C739E" w:rsidRDefault="00CD50E5" w:rsidP="00D255AC">
      <w:pPr>
        <w:pStyle w:val="ListParagraph"/>
        <w:numPr>
          <w:ilvl w:val="0"/>
          <w:numId w:val="46"/>
        </w:numPr>
        <w:spacing w:before="120" w:after="240"/>
        <w:contextualSpacing w:val="0"/>
        <w:rPr>
          <w:rFonts w:eastAsia="Times New Roman" w:cs="Arial"/>
          <w:szCs w:val="24"/>
          <w:lang w:eastAsia="en-CA"/>
        </w:rPr>
      </w:pPr>
      <w:r w:rsidRPr="005C739E">
        <w:rPr>
          <w:rFonts w:eastAsia="Times New Roman" w:cs="Arial"/>
          <w:szCs w:val="24"/>
          <w:lang w:eastAsia="en-CA"/>
        </w:rPr>
        <w:t xml:space="preserve">Evaluate submissions based on </w:t>
      </w:r>
      <w:r w:rsidR="00A6581F" w:rsidRPr="005C739E">
        <w:rPr>
          <w:rFonts w:eastAsia="Times New Roman" w:cs="Arial"/>
          <w:szCs w:val="24"/>
          <w:lang w:eastAsia="en-CA"/>
        </w:rPr>
        <w:t>the</w:t>
      </w:r>
      <w:r w:rsidRPr="005C739E">
        <w:rPr>
          <w:rFonts w:eastAsia="Times New Roman" w:cs="Arial"/>
          <w:szCs w:val="24"/>
          <w:lang w:eastAsia="en-CA"/>
        </w:rPr>
        <w:t xml:space="preserve"> published criteria.</w:t>
      </w:r>
    </w:p>
    <w:p w14:paraId="425014EC" w14:textId="77777777" w:rsidR="000D31B5" w:rsidRPr="000202DB" w:rsidRDefault="000D31B5" w:rsidP="00D255AC">
      <w:pPr>
        <w:pStyle w:val="ListParagraph"/>
        <w:numPr>
          <w:ilvl w:val="0"/>
          <w:numId w:val="52"/>
        </w:numPr>
        <w:spacing w:after="240" w:line="240" w:lineRule="auto"/>
        <w:contextualSpacing w:val="0"/>
        <w:rPr>
          <w:b/>
          <w:bCs/>
          <w:szCs w:val="24"/>
        </w:rPr>
      </w:pPr>
      <w:r w:rsidRPr="000202DB">
        <w:rPr>
          <w:b/>
          <w:bCs/>
          <w:szCs w:val="24"/>
        </w:rPr>
        <w:t>Contract Development</w:t>
      </w:r>
    </w:p>
    <w:p w14:paraId="153F66E5" w14:textId="42C9022E" w:rsidR="000D31B5" w:rsidRPr="005C739E" w:rsidRDefault="000D31B5" w:rsidP="00D255AC">
      <w:pPr>
        <w:pStyle w:val="ListParagraph"/>
        <w:numPr>
          <w:ilvl w:val="0"/>
          <w:numId w:val="46"/>
        </w:numPr>
        <w:spacing w:before="120" w:after="240"/>
        <w:contextualSpacing w:val="0"/>
        <w:rPr>
          <w:rFonts w:eastAsia="Times New Roman" w:cs="Arial"/>
          <w:szCs w:val="24"/>
          <w:lang w:eastAsia="en-CA"/>
        </w:rPr>
      </w:pPr>
      <w:r w:rsidRPr="005C739E">
        <w:rPr>
          <w:rFonts w:eastAsia="Times New Roman" w:cs="Arial"/>
          <w:szCs w:val="24"/>
          <w:lang w:eastAsia="en-CA"/>
        </w:rPr>
        <w:t>Contract award</w:t>
      </w:r>
      <w:r w:rsidR="002B5FD8">
        <w:rPr>
          <w:rFonts w:eastAsia="Times New Roman" w:cs="Arial"/>
          <w:szCs w:val="24"/>
          <w:lang w:eastAsia="en-CA"/>
        </w:rPr>
        <w:t>.</w:t>
      </w:r>
    </w:p>
    <w:p w14:paraId="3C5B2BC5" w14:textId="08BFDBD4" w:rsidR="000D31B5" w:rsidRPr="005C739E" w:rsidRDefault="000D31B5" w:rsidP="00D255AC">
      <w:pPr>
        <w:pStyle w:val="ListParagraph"/>
        <w:numPr>
          <w:ilvl w:val="0"/>
          <w:numId w:val="46"/>
        </w:numPr>
        <w:spacing w:before="120" w:after="240"/>
        <w:contextualSpacing w:val="0"/>
        <w:rPr>
          <w:rFonts w:eastAsia="Times New Roman" w:cs="Arial"/>
          <w:szCs w:val="24"/>
          <w:lang w:eastAsia="en-CA"/>
        </w:rPr>
      </w:pPr>
      <w:r w:rsidRPr="005C739E">
        <w:rPr>
          <w:rFonts w:eastAsia="Times New Roman" w:cs="Arial"/>
          <w:szCs w:val="24"/>
          <w:lang w:eastAsia="en-CA"/>
        </w:rPr>
        <w:lastRenderedPageBreak/>
        <w:t xml:space="preserve">Debrief </w:t>
      </w:r>
      <w:r w:rsidR="005078F5" w:rsidRPr="005C739E">
        <w:rPr>
          <w:rFonts w:eastAsia="Times New Roman" w:cs="Arial"/>
          <w:szCs w:val="24"/>
          <w:lang w:eastAsia="en-CA"/>
        </w:rPr>
        <w:t>suppliers.</w:t>
      </w:r>
    </w:p>
    <w:p w14:paraId="10AAF079" w14:textId="77777777" w:rsidR="000D31B5" w:rsidRPr="000202DB" w:rsidRDefault="000D31B5" w:rsidP="00D255AC">
      <w:pPr>
        <w:pStyle w:val="ListParagraph"/>
        <w:numPr>
          <w:ilvl w:val="0"/>
          <w:numId w:val="52"/>
        </w:numPr>
        <w:spacing w:after="240" w:line="240" w:lineRule="auto"/>
        <w:contextualSpacing w:val="0"/>
        <w:rPr>
          <w:b/>
          <w:bCs/>
          <w:szCs w:val="24"/>
        </w:rPr>
      </w:pPr>
      <w:r w:rsidRPr="000202DB">
        <w:rPr>
          <w:b/>
          <w:bCs/>
          <w:szCs w:val="24"/>
        </w:rPr>
        <w:t>Contract Management &amp; Close Out</w:t>
      </w:r>
    </w:p>
    <w:p w14:paraId="08D80583" w14:textId="77777777" w:rsidR="000D31B5" w:rsidRPr="005C739E" w:rsidRDefault="000D31B5" w:rsidP="00D255AC">
      <w:pPr>
        <w:pStyle w:val="ListParagraph"/>
        <w:numPr>
          <w:ilvl w:val="0"/>
          <w:numId w:val="46"/>
        </w:numPr>
        <w:spacing w:before="120" w:after="240"/>
        <w:contextualSpacing w:val="0"/>
        <w:rPr>
          <w:rFonts w:eastAsia="Times New Roman" w:cs="Arial"/>
          <w:szCs w:val="24"/>
          <w:lang w:eastAsia="en-CA"/>
        </w:rPr>
      </w:pPr>
      <w:r w:rsidRPr="005C739E">
        <w:rPr>
          <w:rFonts w:eastAsia="Times New Roman" w:cs="Arial"/>
          <w:szCs w:val="24"/>
          <w:lang w:eastAsia="en-CA"/>
        </w:rPr>
        <w:t>No change in the current process</w:t>
      </w:r>
    </w:p>
    <w:p w14:paraId="0E547F24" w14:textId="6BDA571C" w:rsidR="001C5384" w:rsidRPr="000202DB" w:rsidRDefault="001C5384" w:rsidP="003A1AC7">
      <w:pPr>
        <w:pStyle w:val="Heading1"/>
      </w:pPr>
      <w:bookmarkStart w:id="25" w:name="_Toc174975052"/>
      <w:r w:rsidRPr="0030693A">
        <w:t>Approach 3:</w:t>
      </w:r>
      <w:r>
        <w:t xml:space="preserve"> Procurement Opportunities ABOVE International Trade Agreement Thresholds</w:t>
      </w:r>
      <w:bookmarkEnd w:id="25"/>
      <w:r>
        <w:t xml:space="preserve"> </w:t>
      </w:r>
    </w:p>
    <w:p w14:paraId="64B88CAF" w14:textId="47572BD9" w:rsidR="00A56CC5" w:rsidRDefault="00E94563" w:rsidP="00057B70">
      <w:pPr>
        <w:spacing w:before="120" w:after="240"/>
        <w:rPr>
          <w:rFonts w:eastAsia="Times New Roman" w:cs="Times New Roman"/>
          <w:lang w:eastAsia="en-CA"/>
        </w:rPr>
      </w:pPr>
      <w:bookmarkStart w:id="26" w:name="_Toc90037128"/>
      <w:r w:rsidRPr="16D46C35">
        <w:rPr>
          <w:rFonts w:eastAsia="Times New Roman" w:cs="Times New Roman"/>
          <w:lang w:eastAsia="en-CA"/>
        </w:rPr>
        <w:t xml:space="preserve">When applying the above trade agreement thresholds approach, buyers are required to use one or more of the following strategies, wherever feasible. </w:t>
      </w:r>
    </w:p>
    <w:p w14:paraId="370138CC" w14:textId="698BCBDE" w:rsidR="00E94563" w:rsidRDefault="00E94563" w:rsidP="00057B70">
      <w:pPr>
        <w:spacing w:before="120" w:after="240"/>
        <w:rPr>
          <w:rFonts w:eastAsia="Times New Roman"/>
          <w:b/>
          <w:bCs/>
        </w:rPr>
      </w:pPr>
      <w:r w:rsidRPr="16D46C35">
        <w:rPr>
          <w:rFonts w:eastAsia="Times New Roman" w:cs="Times New Roman"/>
          <w:lang w:eastAsia="en-CA"/>
        </w:rPr>
        <w:t xml:space="preserve">For clarity, more than one of the strategies may be used together. For example, the weighted domestic criteria strategy may be used with limiting an opportunity to Ontario trading partners. </w:t>
      </w:r>
    </w:p>
    <w:p w14:paraId="1AC41D11" w14:textId="77777777" w:rsidR="007353BE" w:rsidRPr="007353BE" w:rsidRDefault="007353BE" w:rsidP="00D255AC">
      <w:pPr>
        <w:pStyle w:val="ListParagraph"/>
        <w:numPr>
          <w:ilvl w:val="0"/>
          <w:numId w:val="8"/>
        </w:numPr>
        <w:spacing w:before="120" w:after="240"/>
        <w:ind w:left="360"/>
        <w:contextualSpacing w:val="0"/>
        <w:rPr>
          <w:rFonts w:eastAsia="Raleway" w:cs="Raleway"/>
        </w:rPr>
      </w:pPr>
      <w:r>
        <w:t>Government entities must give preference to Canadian businesses and businesses of Ontario’s trading partners,</w:t>
      </w:r>
    </w:p>
    <w:p w14:paraId="2BC4F6B6" w14:textId="4A3DD034" w:rsidR="00E309E2" w:rsidRPr="00E309E2" w:rsidRDefault="00E309E2" w:rsidP="00D255AC">
      <w:pPr>
        <w:pStyle w:val="ListParagraph"/>
        <w:numPr>
          <w:ilvl w:val="0"/>
          <w:numId w:val="8"/>
        </w:numPr>
        <w:spacing w:before="120" w:after="240"/>
        <w:ind w:left="360"/>
        <w:contextualSpacing w:val="0"/>
        <w:rPr>
          <w:rFonts w:eastAsia="Raleway" w:cs="Raleway"/>
        </w:rPr>
      </w:pPr>
      <w:r>
        <w:t>Apply weighted domestic criteria in procurement evaluations (e.g., vendors to demonstrate how they meet Ontario’s environmental and labour standards)</w:t>
      </w:r>
      <w:r w:rsidR="005E0EB2">
        <w:t>.</w:t>
      </w:r>
    </w:p>
    <w:p w14:paraId="6AC689D2" w14:textId="07A876B8" w:rsidR="001473F7" w:rsidRDefault="00D33B12" w:rsidP="00D255AC">
      <w:pPr>
        <w:pStyle w:val="ListParagraph"/>
        <w:numPr>
          <w:ilvl w:val="0"/>
          <w:numId w:val="8"/>
        </w:numPr>
        <w:spacing w:before="120" w:after="240"/>
        <w:ind w:left="360"/>
        <w:contextualSpacing w:val="0"/>
      </w:pPr>
      <w:r>
        <w:t>For</w:t>
      </w:r>
      <w:r w:rsidR="00E309E2">
        <w:t xml:space="preserve"> procurements with an estimated value of $50 million or more</w:t>
      </w:r>
      <w:r w:rsidR="00037307">
        <w:t xml:space="preserve"> in specified sectors</w:t>
      </w:r>
      <w:r w:rsidR="00E309E2">
        <w:t xml:space="preserve">, include an Industrial Regional and Technology Benefit (IRTB) requirement for vendors. The IRTB requires vendors bidding on large procurements to detail how </w:t>
      </w:r>
      <w:r w:rsidR="00292C79">
        <w:t>their proposals</w:t>
      </w:r>
      <w:r w:rsidR="00E309E2">
        <w:t xml:space="preserve"> would provide local economic benefits for the </w:t>
      </w:r>
      <w:r w:rsidR="005B4BC6">
        <w:t>province.</w:t>
      </w:r>
    </w:p>
    <w:p w14:paraId="2E24B300" w14:textId="53C7D4D4" w:rsidR="00D5739E" w:rsidRPr="000202DB" w:rsidRDefault="00D5739E" w:rsidP="006F3345">
      <w:pPr>
        <w:pStyle w:val="Heading2"/>
      </w:pPr>
      <w:bookmarkStart w:id="27" w:name="_Toc174975053"/>
      <w:r w:rsidRPr="000202DB">
        <w:t xml:space="preserve">Strategy </w:t>
      </w:r>
      <w:r>
        <w:t>3</w:t>
      </w:r>
      <w:r w:rsidRPr="000202DB">
        <w:t xml:space="preserve">: </w:t>
      </w:r>
      <w:r>
        <w:t>Government entities must give preference to businesses of Ontario’s trading partners where feasible.</w:t>
      </w:r>
      <w:bookmarkEnd w:id="27"/>
    </w:p>
    <w:p w14:paraId="2087B42C" w14:textId="77777777" w:rsidR="00FD7E1A" w:rsidRPr="000202DB" w:rsidRDefault="00FD7E1A" w:rsidP="0075412A">
      <w:pPr>
        <w:pStyle w:val="Heading3"/>
      </w:pPr>
      <w:r w:rsidRPr="000202DB">
        <w:t>When to use</w:t>
      </w:r>
    </w:p>
    <w:p w14:paraId="0B6E4632" w14:textId="4C1AF6CA" w:rsidR="00FD7E1A" w:rsidRPr="00FD7E1A" w:rsidRDefault="00FD7E1A" w:rsidP="00FD7E1A">
      <w:pPr>
        <w:spacing w:after="240"/>
      </w:pPr>
      <w:r w:rsidRPr="000202DB">
        <w:t>For procurements with values at or above international trade agreement thresholds</w:t>
      </w:r>
      <w:r>
        <w:t>.</w:t>
      </w:r>
    </w:p>
    <w:p w14:paraId="2DBD9428" w14:textId="2C9FD9AB" w:rsidR="004A086B" w:rsidRDefault="004A086B" w:rsidP="00BC679E">
      <w:pPr>
        <w:spacing w:after="240" w:line="240" w:lineRule="auto"/>
        <w:rPr>
          <w:rFonts w:eastAsiaTheme="majorEastAsia" w:cstheme="majorBidi"/>
          <w:b/>
          <w:bCs/>
          <w:color w:val="006E81" w:themeColor="text2"/>
          <w:lang w:eastAsia="en-CA"/>
        </w:rPr>
      </w:pPr>
      <w:r w:rsidRPr="007D0EAD">
        <w:rPr>
          <w:rFonts w:eastAsiaTheme="majorEastAsia" w:cstheme="majorBidi"/>
          <w:b/>
          <w:bCs/>
          <w:color w:val="006E81" w:themeColor="text2"/>
          <w:lang w:eastAsia="en-CA"/>
        </w:rPr>
        <w:t>Description of Strategy</w:t>
      </w:r>
    </w:p>
    <w:p w14:paraId="0A81F4A0" w14:textId="03B0A20C" w:rsidR="004A086B" w:rsidRPr="000202DB" w:rsidRDefault="004A086B" w:rsidP="00590D3C">
      <w:pPr>
        <w:spacing w:after="240" w:line="240" w:lineRule="auto"/>
      </w:pPr>
      <w:r>
        <w:lastRenderedPageBreak/>
        <w:t>Government entities must give preference to Canadian businesses and businesses of Ontario’s trading partners</w:t>
      </w:r>
      <w:r w:rsidRPr="000202DB">
        <w:t xml:space="preserve"> (refer to</w:t>
      </w:r>
      <w:r w:rsidR="007B6E26">
        <w:t xml:space="preserve"> </w:t>
      </w:r>
      <w:hyperlink w:anchor="_Appendix_C:_List_1" w:history="1">
        <w:r w:rsidR="00EC5C73" w:rsidRPr="00EC5C73">
          <w:rPr>
            <w:rStyle w:val="Hyperlink"/>
          </w:rPr>
          <w:t>Appendix</w:t>
        </w:r>
      </w:hyperlink>
      <w:r w:rsidR="00EC5C73">
        <w:t xml:space="preserve"> C</w:t>
      </w:r>
      <w:r w:rsidR="00D879DF">
        <w:t xml:space="preserve"> </w:t>
      </w:r>
      <w:r>
        <w:t>for the list of Ontario Trading partners</w:t>
      </w:r>
      <w:r w:rsidRPr="000202DB">
        <w:t>).</w:t>
      </w:r>
    </w:p>
    <w:p w14:paraId="71EB51E9" w14:textId="40202F26" w:rsidR="0044335F" w:rsidRPr="000202DB" w:rsidRDefault="0044335F" w:rsidP="0075412A">
      <w:pPr>
        <w:pStyle w:val="Heading3"/>
      </w:pPr>
      <w:r w:rsidRPr="269F1005">
        <w:t>Application to the procurement process</w:t>
      </w:r>
    </w:p>
    <w:p w14:paraId="7FB5E4B4" w14:textId="77777777" w:rsidR="0044335F" w:rsidRPr="000202DB" w:rsidRDefault="0044335F" w:rsidP="00D255AC">
      <w:pPr>
        <w:pStyle w:val="ListParagraph"/>
        <w:numPr>
          <w:ilvl w:val="0"/>
          <w:numId w:val="9"/>
        </w:numPr>
        <w:spacing w:after="240" w:line="240" w:lineRule="auto"/>
        <w:ind w:left="360" w:hanging="357"/>
        <w:contextualSpacing w:val="0"/>
        <w:rPr>
          <w:b/>
          <w:bCs/>
          <w:szCs w:val="24"/>
        </w:rPr>
      </w:pPr>
      <w:r w:rsidRPr="000202DB">
        <w:rPr>
          <w:b/>
          <w:bCs/>
          <w:szCs w:val="24"/>
        </w:rPr>
        <w:t>Procurement Planning</w:t>
      </w:r>
    </w:p>
    <w:p w14:paraId="0013D5B0" w14:textId="693BF552" w:rsidR="0044335F" w:rsidRPr="002B5FD8" w:rsidRDefault="0044335F" w:rsidP="00D255AC">
      <w:pPr>
        <w:pStyle w:val="ListParagraph"/>
        <w:numPr>
          <w:ilvl w:val="0"/>
          <w:numId w:val="46"/>
        </w:numPr>
        <w:spacing w:before="120" w:after="240"/>
        <w:contextualSpacing w:val="0"/>
        <w:rPr>
          <w:rFonts w:eastAsia="Times New Roman" w:cs="Arial"/>
          <w:szCs w:val="24"/>
          <w:lang w:eastAsia="en-CA"/>
        </w:rPr>
      </w:pPr>
      <w:r w:rsidRPr="002B5FD8">
        <w:rPr>
          <w:rFonts w:eastAsia="Times New Roman" w:cs="Arial"/>
          <w:szCs w:val="24"/>
          <w:lang w:eastAsia="en-CA"/>
        </w:rPr>
        <w:t>Conduct market research</w:t>
      </w:r>
      <w:r w:rsidR="00885641" w:rsidRPr="002B5FD8">
        <w:rPr>
          <w:rFonts w:eastAsia="Times New Roman" w:cs="Arial"/>
          <w:szCs w:val="24"/>
          <w:lang w:eastAsia="en-CA"/>
        </w:rPr>
        <w:t>.</w:t>
      </w:r>
    </w:p>
    <w:p w14:paraId="25F73DF4" w14:textId="3C3F497E" w:rsidR="0044335F" w:rsidRPr="002B5FD8" w:rsidRDefault="0044335F" w:rsidP="00D255AC">
      <w:pPr>
        <w:pStyle w:val="ListParagraph"/>
        <w:numPr>
          <w:ilvl w:val="0"/>
          <w:numId w:val="46"/>
        </w:numPr>
        <w:spacing w:before="120" w:after="240"/>
        <w:contextualSpacing w:val="0"/>
        <w:rPr>
          <w:rFonts w:eastAsia="Times New Roman" w:cs="Arial"/>
          <w:szCs w:val="24"/>
          <w:lang w:eastAsia="en-CA"/>
        </w:rPr>
      </w:pPr>
      <w:r w:rsidRPr="002B5FD8">
        <w:rPr>
          <w:rFonts w:eastAsia="Times New Roman" w:cs="Arial"/>
          <w:szCs w:val="24"/>
          <w:lang w:eastAsia="en-CA"/>
        </w:rPr>
        <w:t>Seek appropriate approvals</w:t>
      </w:r>
      <w:r w:rsidR="00885641" w:rsidRPr="002B5FD8">
        <w:rPr>
          <w:rFonts w:eastAsia="Times New Roman" w:cs="Arial"/>
          <w:szCs w:val="24"/>
          <w:lang w:eastAsia="en-CA"/>
        </w:rPr>
        <w:t>.</w:t>
      </w:r>
    </w:p>
    <w:p w14:paraId="22F233F7" w14:textId="77777777" w:rsidR="0044335F" w:rsidRPr="000202DB" w:rsidRDefault="0044335F" w:rsidP="00D255AC">
      <w:pPr>
        <w:pStyle w:val="ListParagraph"/>
        <w:numPr>
          <w:ilvl w:val="0"/>
          <w:numId w:val="9"/>
        </w:numPr>
        <w:spacing w:after="240" w:line="240" w:lineRule="auto"/>
        <w:ind w:left="360" w:hanging="357"/>
        <w:contextualSpacing w:val="0"/>
        <w:rPr>
          <w:b/>
          <w:bCs/>
          <w:szCs w:val="24"/>
        </w:rPr>
      </w:pPr>
      <w:r w:rsidRPr="000202DB">
        <w:rPr>
          <w:b/>
          <w:bCs/>
          <w:szCs w:val="24"/>
        </w:rPr>
        <w:t>Procuring</w:t>
      </w:r>
    </w:p>
    <w:p w14:paraId="09CCFE0B" w14:textId="20D798DC" w:rsidR="00562DC1" w:rsidRPr="002B5FD8" w:rsidRDefault="00A6581F" w:rsidP="00D255AC">
      <w:pPr>
        <w:pStyle w:val="ListParagraph"/>
        <w:numPr>
          <w:ilvl w:val="0"/>
          <w:numId w:val="46"/>
        </w:numPr>
        <w:spacing w:before="120" w:after="240"/>
        <w:contextualSpacing w:val="0"/>
        <w:rPr>
          <w:rFonts w:eastAsia="Times New Roman" w:cs="Arial"/>
          <w:szCs w:val="24"/>
          <w:lang w:eastAsia="en-CA"/>
        </w:rPr>
      </w:pPr>
      <w:r w:rsidRPr="002B5FD8">
        <w:rPr>
          <w:rFonts w:eastAsia="Times New Roman" w:cs="Arial"/>
          <w:szCs w:val="24"/>
          <w:lang w:eastAsia="en-CA"/>
        </w:rPr>
        <w:t>The</w:t>
      </w:r>
      <w:r w:rsidR="00562DC1" w:rsidRPr="002B5FD8">
        <w:rPr>
          <w:rFonts w:eastAsia="Times New Roman" w:cs="Arial"/>
          <w:szCs w:val="24"/>
          <w:lang w:eastAsia="en-CA"/>
        </w:rPr>
        <w:t xml:space="preserve"> procurement document must clearly set out </w:t>
      </w:r>
      <w:proofErr w:type="gramStart"/>
      <w:r w:rsidR="00562DC1" w:rsidRPr="002B5FD8">
        <w:rPr>
          <w:rFonts w:eastAsia="Times New Roman" w:cs="Arial"/>
          <w:szCs w:val="24"/>
          <w:lang w:eastAsia="en-CA"/>
        </w:rPr>
        <w:t>the manner by which</w:t>
      </w:r>
      <w:proofErr w:type="gramEnd"/>
      <w:r w:rsidR="00562DC1" w:rsidRPr="002B5FD8">
        <w:rPr>
          <w:rFonts w:eastAsia="Times New Roman" w:cs="Arial"/>
          <w:szCs w:val="24"/>
          <w:lang w:eastAsia="en-CA"/>
        </w:rPr>
        <w:t xml:space="preserve"> preference will be given to Canadian businesses</w:t>
      </w:r>
      <w:r w:rsidR="00C2538B" w:rsidRPr="002B5FD8">
        <w:rPr>
          <w:rFonts w:eastAsia="Times New Roman" w:cs="Arial"/>
          <w:szCs w:val="24"/>
          <w:lang w:eastAsia="en-CA"/>
        </w:rPr>
        <w:t xml:space="preserve"> and businesses of Ontario’s trading partners</w:t>
      </w:r>
      <w:r w:rsidR="00562DC1" w:rsidRPr="002B5FD8">
        <w:rPr>
          <w:rFonts w:eastAsia="Times New Roman" w:cs="Arial"/>
          <w:szCs w:val="24"/>
          <w:lang w:eastAsia="en-CA"/>
        </w:rPr>
        <w:t xml:space="preserve"> by:</w:t>
      </w:r>
    </w:p>
    <w:p w14:paraId="183A9489" w14:textId="39F9D98E" w:rsidR="00562DC1" w:rsidRPr="002B5FD8" w:rsidRDefault="00562DC1" w:rsidP="00D255AC">
      <w:pPr>
        <w:pStyle w:val="ListParagraph"/>
        <w:numPr>
          <w:ilvl w:val="1"/>
          <w:numId w:val="46"/>
        </w:numPr>
        <w:spacing w:before="120" w:after="240"/>
        <w:rPr>
          <w:rFonts w:eastAsia="Times New Roman" w:cs="Arial"/>
          <w:szCs w:val="24"/>
          <w:lang w:eastAsia="en-CA"/>
        </w:rPr>
      </w:pPr>
      <w:r w:rsidRPr="002B5FD8">
        <w:rPr>
          <w:rFonts w:eastAsia="Times New Roman" w:cs="Arial"/>
          <w:szCs w:val="24"/>
          <w:lang w:eastAsia="en-CA"/>
        </w:rPr>
        <w:t>limiting eligibility to Canadian businesses</w:t>
      </w:r>
      <w:r w:rsidR="003254AA" w:rsidRPr="002B5FD8">
        <w:rPr>
          <w:rFonts w:eastAsia="Times New Roman" w:cs="Arial"/>
          <w:szCs w:val="24"/>
          <w:lang w:eastAsia="en-CA"/>
        </w:rPr>
        <w:t xml:space="preserve"> and Ontario’s trading partners</w:t>
      </w:r>
      <w:r w:rsidR="0041289C">
        <w:rPr>
          <w:rFonts w:eastAsia="Times New Roman" w:cs="Arial"/>
          <w:szCs w:val="24"/>
          <w:lang w:eastAsia="en-CA"/>
        </w:rPr>
        <w:t>.</w:t>
      </w:r>
    </w:p>
    <w:p w14:paraId="40C05BCE" w14:textId="1872D32B" w:rsidR="0044335F" w:rsidRPr="002B5FD8" w:rsidRDefault="2DD8AEA5" w:rsidP="00D255AC">
      <w:pPr>
        <w:pStyle w:val="ListParagraph"/>
        <w:numPr>
          <w:ilvl w:val="2"/>
          <w:numId w:val="46"/>
        </w:numPr>
        <w:spacing w:before="120" w:after="240"/>
        <w:contextualSpacing w:val="0"/>
        <w:rPr>
          <w:rFonts w:eastAsia="Times New Roman" w:cs="Arial"/>
          <w:szCs w:val="24"/>
          <w:lang w:eastAsia="en-CA"/>
        </w:rPr>
      </w:pPr>
      <w:r w:rsidRPr="002B5FD8">
        <w:rPr>
          <w:rFonts w:eastAsia="Times New Roman" w:cs="Arial"/>
          <w:szCs w:val="24"/>
          <w:lang w:eastAsia="en-CA"/>
        </w:rPr>
        <w:t xml:space="preserve">For example: </w:t>
      </w:r>
      <w:r w:rsidR="00A12AA9" w:rsidRPr="002B5FD8">
        <w:rPr>
          <w:rFonts w:eastAsia="Times New Roman" w:cs="Arial"/>
          <w:szCs w:val="24"/>
          <w:lang w:eastAsia="en-CA"/>
        </w:rPr>
        <w:t>Is the vendor</w:t>
      </w:r>
      <w:r w:rsidRPr="002B5FD8">
        <w:rPr>
          <w:rFonts w:eastAsia="Times New Roman" w:cs="Arial"/>
          <w:szCs w:val="24"/>
          <w:lang w:eastAsia="en-CA"/>
        </w:rPr>
        <w:t xml:space="preserve"> from a jurisdiction that has trade obligation</w:t>
      </w:r>
      <w:r w:rsidR="5833FE25" w:rsidRPr="002B5FD8">
        <w:rPr>
          <w:rFonts w:eastAsia="Times New Roman" w:cs="Arial"/>
          <w:szCs w:val="24"/>
          <w:lang w:eastAsia="en-CA"/>
        </w:rPr>
        <w:t>s</w:t>
      </w:r>
      <w:r w:rsidRPr="002B5FD8">
        <w:rPr>
          <w:rFonts w:eastAsia="Times New Roman" w:cs="Arial"/>
          <w:szCs w:val="24"/>
          <w:lang w:eastAsia="en-CA"/>
        </w:rPr>
        <w:t xml:space="preserve"> with Ontario and/or Canada? If yes, please identify which</w:t>
      </w:r>
      <w:r w:rsidR="001A5921" w:rsidRPr="002B5FD8">
        <w:rPr>
          <w:rFonts w:eastAsia="Times New Roman" w:cs="Arial"/>
          <w:szCs w:val="24"/>
          <w:lang w:eastAsia="en-CA"/>
        </w:rPr>
        <w:t xml:space="preserve"> jurisdiction and the relevant</w:t>
      </w:r>
      <w:r w:rsidRPr="002B5FD8">
        <w:rPr>
          <w:rFonts w:eastAsia="Times New Roman" w:cs="Arial"/>
          <w:szCs w:val="24"/>
          <w:lang w:eastAsia="en-CA"/>
        </w:rPr>
        <w:t xml:space="preserve"> trade agreement(s)</w:t>
      </w:r>
      <w:r w:rsidR="001A5921" w:rsidRPr="002B5FD8">
        <w:rPr>
          <w:rFonts w:eastAsia="Times New Roman" w:cs="Arial"/>
          <w:szCs w:val="24"/>
          <w:lang w:eastAsia="en-CA"/>
        </w:rPr>
        <w:t xml:space="preserve"> that apply to that jurisdiction.</w:t>
      </w:r>
    </w:p>
    <w:p w14:paraId="2E8EB5D8" w14:textId="13F05408" w:rsidR="0044335F" w:rsidRPr="002B5FD8" w:rsidRDefault="0044335F" w:rsidP="00D255AC">
      <w:pPr>
        <w:pStyle w:val="ListParagraph"/>
        <w:numPr>
          <w:ilvl w:val="0"/>
          <w:numId w:val="46"/>
        </w:numPr>
        <w:spacing w:before="120" w:after="240"/>
        <w:contextualSpacing w:val="0"/>
        <w:rPr>
          <w:rFonts w:eastAsia="Times New Roman" w:cs="Arial"/>
          <w:szCs w:val="24"/>
          <w:lang w:eastAsia="en-CA"/>
        </w:rPr>
      </w:pPr>
      <w:r w:rsidRPr="002B5FD8">
        <w:rPr>
          <w:rFonts w:eastAsia="Times New Roman" w:cs="Arial"/>
          <w:szCs w:val="24"/>
          <w:lang w:eastAsia="en-CA"/>
        </w:rPr>
        <w:t xml:space="preserve">Post tender on </w:t>
      </w:r>
      <w:r w:rsidR="007461C8" w:rsidRPr="002B5FD8">
        <w:rPr>
          <w:rFonts w:eastAsia="Times New Roman" w:cs="Arial"/>
          <w:szCs w:val="24"/>
          <w:lang w:eastAsia="en-CA"/>
        </w:rPr>
        <w:t>the</w:t>
      </w:r>
      <w:r w:rsidRPr="002B5FD8">
        <w:rPr>
          <w:rFonts w:eastAsia="Times New Roman" w:cs="Arial"/>
          <w:szCs w:val="24"/>
          <w:lang w:eastAsia="en-CA"/>
        </w:rPr>
        <w:t xml:space="preserve"> organization’s electronic tendering portal</w:t>
      </w:r>
      <w:r w:rsidR="00885641" w:rsidRPr="002B5FD8">
        <w:rPr>
          <w:rFonts w:eastAsia="Times New Roman" w:cs="Arial"/>
          <w:szCs w:val="24"/>
          <w:lang w:eastAsia="en-CA"/>
        </w:rPr>
        <w:t>.</w:t>
      </w:r>
    </w:p>
    <w:p w14:paraId="14CE09FA" w14:textId="4551E598" w:rsidR="0044335F" w:rsidRPr="000202DB" w:rsidRDefault="2DD8AEA5" w:rsidP="00D255AC">
      <w:pPr>
        <w:pStyle w:val="ListParagraph"/>
        <w:numPr>
          <w:ilvl w:val="0"/>
          <w:numId w:val="9"/>
        </w:numPr>
        <w:spacing w:after="240" w:line="240" w:lineRule="auto"/>
        <w:ind w:left="360" w:hanging="357"/>
        <w:contextualSpacing w:val="0"/>
        <w:rPr>
          <w:b/>
          <w:bCs/>
          <w:szCs w:val="24"/>
        </w:rPr>
      </w:pPr>
      <w:r w:rsidRPr="000202DB">
        <w:rPr>
          <w:b/>
          <w:bCs/>
          <w:szCs w:val="24"/>
        </w:rPr>
        <w:t>Evaluation of Response</w:t>
      </w:r>
      <w:r w:rsidR="00FF4B5F" w:rsidRPr="000202DB">
        <w:rPr>
          <w:b/>
          <w:bCs/>
          <w:szCs w:val="24"/>
        </w:rPr>
        <w:t>s</w:t>
      </w:r>
    </w:p>
    <w:p w14:paraId="3F6183C0" w14:textId="4CA895BB" w:rsidR="0044335F" w:rsidRPr="002B6D7F" w:rsidRDefault="003A077C" w:rsidP="00D255AC">
      <w:pPr>
        <w:pStyle w:val="ListParagraph"/>
        <w:numPr>
          <w:ilvl w:val="0"/>
          <w:numId w:val="46"/>
        </w:numPr>
        <w:spacing w:before="120" w:after="240"/>
        <w:contextualSpacing w:val="0"/>
        <w:rPr>
          <w:rFonts w:eastAsia="Times New Roman" w:cs="Arial"/>
          <w:szCs w:val="24"/>
          <w:lang w:eastAsia="en-CA"/>
        </w:rPr>
      </w:pPr>
      <w:r w:rsidRPr="002B6D7F">
        <w:rPr>
          <w:rFonts w:eastAsia="Times New Roman" w:cs="Arial"/>
          <w:szCs w:val="24"/>
          <w:lang w:eastAsia="en-CA"/>
        </w:rPr>
        <w:t>E</w:t>
      </w:r>
      <w:r w:rsidR="0044335F" w:rsidRPr="002B6D7F">
        <w:rPr>
          <w:rFonts w:eastAsia="Times New Roman" w:cs="Arial"/>
          <w:szCs w:val="24"/>
          <w:lang w:eastAsia="en-CA"/>
        </w:rPr>
        <w:t xml:space="preserve">nsure that the submission(s) </w:t>
      </w:r>
      <w:r w:rsidRPr="002B6D7F">
        <w:rPr>
          <w:rFonts w:eastAsia="Times New Roman" w:cs="Arial"/>
          <w:szCs w:val="24"/>
          <w:lang w:eastAsia="en-CA"/>
        </w:rPr>
        <w:t>includes</w:t>
      </w:r>
      <w:r w:rsidR="00827DE0" w:rsidRPr="002B6D7F">
        <w:rPr>
          <w:rFonts w:eastAsia="Times New Roman" w:cs="Arial"/>
          <w:szCs w:val="24"/>
          <w:lang w:eastAsia="en-CA"/>
        </w:rPr>
        <w:t xml:space="preserve"> an attestation </w:t>
      </w:r>
      <w:r w:rsidR="0044335F" w:rsidRPr="002B6D7F">
        <w:rPr>
          <w:rFonts w:eastAsia="Times New Roman" w:cs="Arial"/>
          <w:szCs w:val="24"/>
          <w:lang w:eastAsia="en-CA"/>
        </w:rPr>
        <w:t xml:space="preserve">from </w:t>
      </w:r>
      <w:r w:rsidR="00827DE0" w:rsidRPr="002B6D7F">
        <w:rPr>
          <w:rFonts w:eastAsia="Times New Roman" w:cs="Arial"/>
          <w:szCs w:val="24"/>
          <w:lang w:eastAsia="en-CA"/>
        </w:rPr>
        <w:t xml:space="preserve">the </w:t>
      </w:r>
      <w:r w:rsidR="0044335F" w:rsidRPr="002B6D7F">
        <w:rPr>
          <w:rFonts w:eastAsia="Times New Roman" w:cs="Arial"/>
          <w:szCs w:val="24"/>
          <w:lang w:eastAsia="en-CA"/>
        </w:rPr>
        <w:t xml:space="preserve">business </w:t>
      </w:r>
      <w:r w:rsidR="008E2289" w:rsidRPr="002B6D7F">
        <w:rPr>
          <w:rFonts w:eastAsia="Times New Roman" w:cs="Arial"/>
          <w:szCs w:val="24"/>
          <w:lang w:eastAsia="en-CA"/>
        </w:rPr>
        <w:t xml:space="preserve">stating it </w:t>
      </w:r>
      <w:r w:rsidR="0044335F" w:rsidRPr="002B6D7F">
        <w:rPr>
          <w:rFonts w:eastAsia="Times New Roman" w:cs="Arial"/>
          <w:szCs w:val="24"/>
          <w:lang w:eastAsia="en-CA"/>
        </w:rPr>
        <w:t xml:space="preserve">is </w:t>
      </w:r>
      <w:r w:rsidR="001A5921" w:rsidRPr="002B6D7F">
        <w:rPr>
          <w:rFonts w:eastAsia="Times New Roman" w:cs="Arial"/>
          <w:szCs w:val="24"/>
          <w:lang w:eastAsia="en-CA"/>
        </w:rPr>
        <w:t>a Canadian business or from</w:t>
      </w:r>
      <w:r w:rsidR="0044335F" w:rsidRPr="002B6D7F">
        <w:rPr>
          <w:rFonts w:eastAsia="Times New Roman" w:cs="Arial"/>
          <w:szCs w:val="24"/>
          <w:lang w:eastAsia="en-CA"/>
        </w:rPr>
        <w:t xml:space="preserve"> a jurisdiction of an Ontario trading partner (refer to </w:t>
      </w:r>
      <w:hyperlink w:anchor="_Appendix_C:_List_1" w:history="1">
        <w:r w:rsidR="0044335F" w:rsidRPr="002B6D7F">
          <w:rPr>
            <w:rFonts w:eastAsia="Times New Roman" w:cs="Arial"/>
            <w:lang w:eastAsia="en-CA"/>
          </w:rPr>
          <w:t xml:space="preserve">Appendix </w:t>
        </w:r>
        <w:r w:rsidR="00D947FD" w:rsidRPr="002B6D7F">
          <w:rPr>
            <w:rFonts w:eastAsia="Times New Roman" w:cs="Arial"/>
            <w:lang w:eastAsia="en-CA"/>
          </w:rPr>
          <w:t>C</w:t>
        </w:r>
      </w:hyperlink>
      <w:r w:rsidR="0044335F" w:rsidRPr="002B6D7F">
        <w:rPr>
          <w:rFonts w:eastAsia="Times New Roman" w:cs="Arial"/>
          <w:szCs w:val="24"/>
          <w:lang w:eastAsia="en-CA"/>
        </w:rPr>
        <w:t>)</w:t>
      </w:r>
      <w:r w:rsidR="003576E9" w:rsidRPr="002B6D7F">
        <w:rPr>
          <w:rFonts w:eastAsia="Times New Roman" w:cs="Arial"/>
          <w:szCs w:val="24"/>
          <w:lang w:eastAsia="en-CA"/>
        </w:rPr>
        <w:t xml:space="preserve"> or include a mandatory </w:t>
      </w:r>
      <w:r w:rsidR="00F069AC" w:rsidRPr="002B6D7F">
        <w:rPr>
          <w:rFonts w:eastAsia="Times New Roman" w:cs="Arial"/>
          <w:szCs w:val="24"/>
          <w:lang w:eastAsia="en-CA"/>
        </w:rPr>
        <w:t xml:space="preserve">eligibility </w:t>
      </w:r>
      <w:r w:rsidR="003576E9" w:rsidRPr="002B6D7F">
        <w:rPr>
          <w:rFonts w:eastAsia="Times New Roman" w:cs="Arial"/>
          <w:szCs w:val="24"/>
          <w:lang w:eastAsia="en-CA"/>
        </w:rPr>
        <w:t>requirement</w:t>
      </w:r>
      <w:r w:rsidR="0044335F" w:rsidRPr="002B6D7F">
        <w:rPr>
          <w:rFonts w:eastAsia="Times New Roman" w:cs="Arial"/>
          <w:szCs w:val="24"/>
          <w:lang w:eastAsia="en-CA"/>
        </w:rPr>
        <w:t xml:space="preserve">. Where a vendor fails to meet the mandatory </w:t>
      </w:r>
      <w:r w:rsidR="00F069AC" w:rsidRPr="002B6D7F">
        <w:rPr>
          <w:rFonts w:eastAsia="Times New Roman" w:cs="Arial"/>
          <w:szCs w:val="24"/>
          <w:lang w:eastAsia="en-CA"/>
        </w:rPr>
        <w:t xml:space="preserve">eligibility </w:t>
      </w:r>
      <w:r w:rsidR="0044335F" w:rsidRPr="002B6D7F">
        <w:rPr>
          <w:rFonts w:eastAsia="Times New Roman" w:cs="Arial"/>
          <w:szCs w:val="24"/>
          <w:lang w:eastAsia="en-CA"/>
        </w:rPr>
        <w:t>requirement as identified in the procurement document, no further evaluation of that vendor’s submission may take place</w:t>
      </w:r>
      <w:r w:rsidR="00F50DA8" w:rsidRPr="002B6D7F">
        <w:rPr>
          <w:rFonts w:eastAsia="Times New Roman" w:cs="Arial"/>
          <w:szCs w:val="24"/>
          <w:lang w:eastAsia="en-CA"/>
        </w:rPr>
        <w:t>.</w:t>
      </w:r>
    </w:p>
    <w:p w14:paraId="7DC90DF6" w14:textId="16EE67BF" w:rsidR="00BC679E" w:rsidRPr="00D71068" w:rsidRDefault="700C402A" w:rsidP="00D255AC">
      <w:pPr>
        <w:pStyle w:val="ListParagraph"/>
        <w:numPr>
          <w:ilvl w:val="0"/>
          <w:numId w:val="46"/>
        </w:numPr>
        <w:spacing w:before="120" w:after="240"/>
        <w:contextualSpacing w:val="0"/>
        <w:rPr>
          <w:rFonts w:eastAsia="Times New Roman" w:cs="Arial"/>
          <w:szCs w:val="24"/>
          <w:lang w:eastAsia="en-CA"/>
        </w:rPr>
      </w:pPr>
      <w:r w:rsidRPr="002B6D7F">
        <w:rPr>
          <w:rFonts w:eastAsia="Times New Roman" w:cs="Arial"/>
          <w:szCs w:val="24"/>
          <w:lang w:eastAsia="en-CA"/>
        </w:rPr>
        <w:t>Evaluation of rated criteria</w:t>
      </w:r>
    </w:p>
    <w:p w14:paraId="1B0844FA" w14:textId="26BDD664" w:rsidR="0044335F" w:rsidRPr="000202DB" w:rsidRDefault="0044335F" w:rsidP="00D255AC">
      <w:pPr>
        <w:pStyle w:val="ListParagraph"/>
        <w:numPr>
          <w:ilvl w:val="0"/>
          <w:numId w:val="9"/>
        </w:numPr>
        <w:spacing w:after="240" w:line="240" w:lineRule="auto"/>
        <w:ind w:left="360" w:hanging="357"/>
        <w:contextualSpacing w:val="0"/>
        <w:rPr>
          <w:b/>
          <w:bCs/>
          <w:szCs w:val="24"/>
        </w:rPr>
      </w:pPr>
      <w:r w:rsidRPr="000202DB">
        <w:rPr>
          <w:b/>
          <w:bCs/>
          <w:szCs w:val="24"/>
        </w:rPr>
        <w:lastRenderedPageBreak/>
        <w:t xml:space="preserve">Contract </w:t>
      </w:r>
      <w:r w:rsidR="00666D5E" w:rsidRPr="000202DB">
        <w:rPr>
          <w:b/>
          <w:bCs/>
          <w:szCs w:val="24"/>
        </w:rPr>
        <w:t>Development</w:t>
      </w:r>
    </w:p>
    <w:p w14:paraId="274AF7B3" w14:textId="25F48295" w:rsidR="0044335F" w:rsidRPr="002B6D7F" w:rsidRDefault="00FD32EA" w:rsidP="00D255AC">
      <w:pPr>
        <w:pStyle w:val="ListParagraph"/>
        <w:numPr>
          <w:ilvl w:val="0"/>
          <w:numId w:val="46"/>
        </w:numPr>
        <w:spacing w:before="120" w:after="240"/>
        <w:contextualSpacing w:val="0"/>
        <w:rPr>
          <w:rFonts w:eastAsia="Times New Roman" w:cs="Arial"/>
          <w:szCs w:val="24"/>
          <w:lang w:eastAsia="en-CA"/>
        </w:rPr>
      </w:pPr>
      <w:r w:rsidRPr="002B6D7F">
        <w:rPr>
          <w:rFonts w:eastAsia="Times New Roman" w:cs="Arial"/>
          <w:szCs w:val="24"/>
          <w:lang w:eastAsia="en-CA"/>
        </w:rPr>
        <w:t>Contract a</w:t>
      </w:r>
      <w:r w:rsidR="0044335F" w:rsidRPr="002B6D7F">
        <w:rPr>
          <w:rFonts w:eastAsia="Times New Roman" w:cs="Arial"/>
          <w:szCs w:val="24"/>
          <w:lang w:eastAsia="en-CA"/>
        </w:rPr>
        <w:t>ward</w:t>
      </w:r>
      <w:r w:rsidR="00F50DA8" w:rsidRPr="002B6D7F">
        <w:rPr>
          <w:rFonts w:eastAsia="Times New Roman" w:cs="Arial"/>
          <w:szCs w:val="24"/>
          <w:lang w:eastAsia="en-CA"/>
        </w:rPr>
        <w:t>.</w:t>
      </w:r>
    </w:p>
    <w:p w14:paraId="2179D1D9" w14:textId="4A11BFB6" w:rsidR="00463C38" w:rsidRPr="002B6D7F" w:rsidRDefault="00463C38" w:rsidP="00D255AC">
      <w:pPr>
        <w:pStyle w:val="ListParagraph"/>
        <w:numPr>
          <w:ilvl w:val="0"/>
          <w:numId w:val="46"/>
        </w:numPr>
        <w:spacing w:before="120" w:after="240"/>
        <w:contextualSpacing w:val="0"/>
        <w:rPr>
          <w:rFonts w:eastAsia="Times New Roman" w:cs="Arial"/>
          <w:szCs w:val="24"/>
          <w:lang w:eastAsia="en-CA"/>
        </w:rPr>
      </w:pPr>
      <w:r w:rsidRPr="002B6D7F">
        <w:rPr>
          <w:rFonts w:eastAsia="Times New Roman" w:cs="Arial"/>
          <w:szCs w:val="24"/>
          <w:lang w:eastAsia="en-CA"/>
        </w:rPr>
        <w:t xml:space="preserve">Debrief </w:t>
      </w:r>
      <w:r w:rsidR="00666D5E" w:rsidRPr="002B6D7F">
        <w:rPr>
          <w:rFonts w:eastAsia="Times New Roman" w:cs="Arial"/>
          <w:szCs w:val="24"/>
          <w:lang w:eastAsia="en-CA"/>
        </w:rPr>
        <w:t>suppliers</w:t>
      </w:r>
      <w:r w:rsidR="00F50DA8" w:rsidRPr="002B6D7F">
        <w:rPr>
          <w:rFonts w:eastAsia="Times New Roman" w:cs="Arial"/>
          <w:szCs w:val="24"/>
          <w:lang w:eastAsia="en-CA"/>
        </w:rPr>
        <w:t>.</w:t>
      </w:r>
    </w:p>
    <w:p w14:paraId="020D4F72" w14:textId="23568A72" w:rsidR="0044335F" w:rsidRPr="000202DB" w:rsidRDefault="0044335F" w:rsidP="00D255AC">
      <w:pPr>
        <w:pStyle w:val="ListParagraph"/>
        <w:numPr>
          <w:ilvl w:val="0"/>
          <w:numId w:val="9"/>
        </w:numPr>
        <w:spacing w:after="240" w:line="240" w:lineRule="auto"/>
        <w:ind w:left="360" w:hanging="357"/>
        <w:contextualSpacing w:val="0"/>
        <w:rPr>
          <w:b/>
          <w:bCs/>
          <w:szCs w:val="24"/>
        </w:rPr>
      </w:pPr>
      <w:r w:rsidRPr="000202DB">
        <w:rPr>
          <w:b/>
          <w:bCs/>
          <w:szCs w:val="24"/>
        </w:rPr>
        <w:t>Contract Management and Close</w:t>
      </w:r>
      <w:r w:rsidR="005E02AF" w:rsidRPr="000202DB">
        <w:rPr>
          <w:b/>
          <w:bCs/>
          <w:szCs w:val="24"/>
        </w:rPr>
        <w:t xml:space="preserve"> O</w:t>
      </w:r>
      <w:r w:rsidRPr="000202DB">
        <w:rPr>
          <w:b/>
          <w:bCs/>
          <w:szCs w:val="24"/>
        </w:rPr>
        <w:t>ut</w:t>
      </w:r>
    </w:p>
    <w:p w14:paraId="302E1D63" w14:textId="045981B4" w:rsidR="00D47C0B" w:rsidRPr="002B6D7F" w:rsidRDefault="0044335F" w:rsidP="00D255AC">
      <w:pPr>
        <w:pStyle w:val="ListParagraph"/>
        <w:numPr>
          <w:ilvl w:val="0"/>
          <w:numId w:val="46"/>
        </w:numPr>
        <w:spacing w:before="120" w:after="240"/>
        <w:contextualSpacing w:val="0"/>
        <w:rPr>
          <w:rFonts w:eastAsia="Times New Roman" w:cs="Arial"/>
          <w:szCs w:val="24"/>
          <w:lang w:eastAsia="en-CA"/>
        </w:rPr>
      </w:pPr>
      <w:r w:rsidRPr="002B6D7F">
        <w:rPr>
          <w:rFonts w:eastAsia="Times New Roman" w:cs="Arial"/>
          <w:szCs w:val="24"/>
          <w:lang w:eastAsia="en-CA"/>
        </w:rPr>
        <w:t>No change in the process</w:t>
      </w:r>
      <w:bookmarkEnd w:id="26"/>
    </w:p>
    <w:p w14:paraId="2EC4C828" w14:textId="63F148E2" w:rsidR="00C54582" w:rsidRPr="00F50DA8" w:rsidRDefault="00463C38" w:rsidP="006F3345">
      <w:pPr>
        <w:pStyle w:val="Heading2"/>
      </w:pPr>
      <w:bookmarkStart w:id="28" w:name="_Toc174975054"/>
      <w:r w:rsidRPr="00F50DA8">
        <w:t xml:space="preserve">Strategy </w:t>
      </w:r>
      <w:r w:rsidR="003E42C1" w:rsidRPr="00F50DA8">
        <w:t>4</w:t>
      </w:r>
      <w:r w:rsidRPr="00F50DA8">
        <w:t xml:space="preserve">: </w:t>
      </w:r>
      <w:r w:rsidR="56FCECD7" w:rsidRPr="00F50DA8">
        <w:t xml:space="preserve">Apply weighted domestic criteria </w:t>
      </w:r>
      <w:r w:rsidR="00B77A8D" w:rsidRPr="00F50DA8">
        <w:t>in procurement evaluations</w:t>
      </w:r>
      <w:r w:rsidR="00F50DA8">
        <w:t>.</w:t>
      </w:r>
      <w:bookmarkEnd w:id="28"/>
    </w:p>
    <w:p w14:paraId="6E9FD855" w14:textId="5C217CE8" w:rsidR="00946122" w:rsidRDefault="0042010C" w:rsidP="00BC679E">
      <w:pPr>
        <w:spacing w:after="240" w:line="271" w:lineRule="auto"/>
        <w:rPr>
          <w:rFonts w:eastAsiaTheme="majorEastAsia" w:cstheme="majorBidi"/>
          <w:b/>
          <w:bCs/>
          <w:color w:val="006E81" w:themeColor="text2"/>
          <w:szCs w:val="24"/>
          <w:lang w:eastAsia="en-CA"/>
        </w:rPr>
      </w:pPr>
      <w:r>
        <w:rPr>
          <w:rFonts w:eastAsiaTheme="majorEastAsia" w:cstheme="majorBidi"/>
          <w:b/>
          <w:bCs/>
          <w:color w:val="006E81" w:themeColor="text2"/>
          <w:szCs w:val="24"/>
          <w:lang w:eastAsia="en-CA"/>
        </w:rPr>
        <w:t>Description of Strategy</w:t>
      </w:r>
    </w:p>
    <w:p w14:paraId="09DD8F37" w14:textId="77777777" w:rsidR="00E14910" w:rsidRDefault="00E14910" w:rsidP="00D255AC">
      <w:pPr>
        <w:pStyle w:val="ListParagraph"/>
        <w:numPr>
          <w:ilvl w:val="0"/>
          <w:numId w:val="34"/>
        </w:numPr>
        <w:spacing w:before="120" w:after="240"/>
        <w:ind w:left="360"/>
        <w:contextualSpacing w:val="0"/>
        <w:rPr>
          <w:rFonts w:eastAsia="Times New Roman" w:cs="Times New Roman"/>
          <w:lang w:eastAsia="en-CA"/>
        </w:rPr>
      </w:pPr>
      <w:r w:rsidRPr="00F50DA8">
        <w:rPr>
          <w:rFonts w:eastAsia="Times New Roman" w:cs="Times New Roman"/>
          <w:lang w:eastAsia="en-CA"/>
        </w:rPr>
        <w:t>This approach requires public sector buyers to factor in social and economic development benefits while considering relevant trade obligations and associated trade risks when procuring goods and services.</w:t>
      </w:r>
    </w:p>
    <w:p w14:paraId="0F19E22E" w14:textId="37D321E8" w:rsidR="008D06F0" w:rsidRPr="00F633D4" w:rsidRDefault="235C0AED" w:rsidP="00D255AC">
      <w:pPr>
        <w:pStyle w:val="ListParagraph"/>
        <w:numPr>
          <w:ilvl w:val="0"/>
          <w:numId w:val="34"/>
        </w:numPr>
        <w:spacing w:before="120" w:after="240"/>
        <w:ind w:left="360"/>
        <w:contextualSpacing w:val="0"/>
        <w:rPr>
          <w:rFonts w:eastAsia="Times New Roman" w:cs="Times New Roman"/>
          <w:szCs w:val="24"/>
          <w:lang w:eastAsia="en-CA"/>
        </w:rPr>
      </w:pPr>
      <w:r w:rsidRPr="00F633D4">
        <w:rPr>
          <w:rFonts w:eastAsia="Times New Roman" w:cs="Times New Roman"/>
          <w:szCs w:val="24"/>
          <w:lang w:eastAsia="en-CA"/>
        </w:rPr>
        <w:t>T</w:t>
      </w:r>
      <w:r w:rsidR="30D079F2" w:rsidRPr="00F633D4">
        <w:rPr>
          <w:rFonts w:eastAsia="Times New Roman" w:cs="Times New Roman"/>
          <w:szCs w:val="24"/>
          <w:lang w:eastAsia="en-CA"/>
        </w:rPr>
        <w:t xml:space="preserve">he </w:t>
      </w:r>
      <w:r w:rsidRPr="00F633D4">
        <w:rPr>
          <w:rFonts w:eastAsia="Times New Roman" w:cs="Times New Roman"/>
          <w:szCs w:val="24"/>
          <w:lang w:eastAsia="en-CA"/>
        </w:rPr>
        <w:t xml:space="preserve">intent of </w:t>
      </w:r>
      <w:r w:rsidR="267A41BB" w:rsidRPr="00F633D4">
        <w:rPr>
          <w:rFonts w:eastAsia="Times New Roman" w:cs="Times New Roman"/>
          <w:szCs w:val="24"/>
          <w:lang w:eastAsia="en-CA"/>
        </w:rPr>
        <w:t xml:space="preserve">applying </w:t>
      </w:r>
      <w:r w:rsidR="30D079F2" w:rsidRPr="00F633D4">
        <w:rPr>
          <w:rFonts w:eastAsia="Times New Roman" w:cs="Times New Roman"/>
          <w:szCs w:val="24"/>
          <w:lang w:eastAsia="en-CA"/>
        </w:rPr>
        <w:t xml:space="preserve">weighted domestic criteria in the evaluation process </w:t>
      </w:r>
      <w:r w:rsidR="3EC70AB9" w:rsidRPr="00F633D4">
        <w:rPr>
          <w:rFonts w:eastAsia="Times New Roman" w:cs="Times New Roman"/>
          <w:szCs w:val="24"/>
          <w:lang w:eastAsia="en-CA"/>
        </w:rPr>
        <w:t xml:space="preserve">is to </w:t>
      </w:r>
      <w:r w:rsidR="00463C38" w:rsidRPr="00F633D4">
        <w:rPr>
          <w:rFonts w:eastAsia="Times New Roman" w:cs="Times New Roman"/>
          <w:szCs w:val="24"/>
          <w:lang w:eastAsia="en-CA"/>
        </w:rPr>
        <w:t>level the playing field for Ontario businesses</w:t>
      </w:r>
      <w:r w:rsidR="00082C10">
        <w:rPr>
          <w:rFonts w:eastAsia="Times New Roman" w:cs="Times New Roman"/>
          <w:szCs w:val="24"/>
          <w:lang w:eastAsia="en-CA"/>
        </w:rPr>
        <w:t>, w</w:t>
      </w:r>
      <w:r w:rsidR="00013E97">
        <w:rPr>
          <w:rFonts w:eastAsia="Times New Roman" w:cs="Times New Roman"/>
          <w:szCs w:val="24"/>
          <w:lang w:eastAsia="en-CA"/>
        </w:rPr>
        <w:t>hich is why</w:t>
      </w:r>
      <w:r w:rsidR="00FA67D9">
        <w:rPr>
          <w:rFonts w:eastAsia="Times New Roman" w:cs="Times New Roman"/>
          <w:szCs w:val="24"/>
          <w:lang w:eastAsia="en-CA"/>
        </w:rPr>
        <w:t xml:space="preserve"> weighted domestic criteria should only be included if an Ontario business exist in that market. </w:t>
      </w:r>
      <w:r w:rsidR="00013E97">
        <w:rPr>
          <w:rFonts w:eastAsia="Times New Roman" w:cs="Times New Roman"/>
          <w:szCs w:val="24"/>
          <w:lang w:eastAsia="en-CA"/>
        </w:rPr>
        <w:t xml:space="preserve"> </w:t>
      </w:r>
      <w:r w:rsidR="00FA67D9">
        <w:rPr>
          <w:rFonts w:eastAsia="Times New Roman" w:cs="Times New Roman"/>
          <w:szCs w:val="24"/>
          <w:lang w:eastAsia="en-CA"/>
        </w:rPr>
        <w:t>C</w:t>
      </w:r>
      <w:r w:rsidR="1D7DDC25" w:rsidRPr="00F633D4">
        <w:rPr>
          <w:rFonts w:eastAsia="Times New Roman" w:cs="Times New Roman"/>
          <w:szCs w:val="24"/>
          <w:lang w:eastAsia="en-CA"/>
        </w:rPr>
        <w:t xml:space="preserve">onsideration is given to </w:t>
      </w:r>
      <w:r w:rsidR="4B53895B" w:rsidRPr="00F633D4">
        <w:rPr>
          <w:rFonts w:eastAsia="Times New Roman" w:cs="Times New Roman"/>
          <w:szCs w:val="24"/>
          <w:lang w:eastAsia="en-CA"/>
        </w:rPr>
        <w:t xml:space="preserve">factors such as </w:t>
      </w:r>
      <w:r w:rsidR="30D079F2" w:rsidRPr="00F633D4">
        <w:rPr>
          <w:rFonts w:eastAsia="Times New Roman" w:cs="Times New Roman"/>
          <w:szCs w:val="24"/>
          <w:lang w:eastAsia="en-CA"/>
        </w:rPr>
        <w:t xml:space="preserve">social </w:t>
      </w:r>
      <w:r w:rsidR="35031C23" w:rsidRPr="00F633D4">
        <w:rPr>
          <w:rFonts w:eastAsia="Times New Roman" w:cs="Times New Roman"/>
          <w:szCs w:val="24"/>
          <w:lang w:eastAsia="en-CA"/>
        </w:rPr>
        <w:t xml:space="preserve">and ethical </w:t>
      </w:r>
      <w:r w:rsidR="30D079F2" w:rsidRPr="00F633D4">
        <w:rPr>
          <w:rFonts w:eastAsia="Times New Roman" w:cs="Times New Roman"/>
          <w:szCs w:val="24"/>
          <w:lang w:eastAsia="en-CA"/>
        </w:rPr>
        <w:t>responsibilit</w:t>
      </w:r>
      <w:r w:rsidR="5974C5F4" w:rsidRPr="00F633D4">
        <w:rPr>
          <w:rFonts w:eastAsia="Times New Roman" w:cs="Times New Roman"/>
          <w:szCs w:val="24"/>
          <w:lang w:eastAsia="en-CA"/>
        </w:rPr>
        <w:t>ies</w:t>
      </w:r>
      <w:r w:rsidR="30D079F2" w:rsidRPr="00F633D4">
        <w:rPr>
          <w:rFonts w:eastAsia="Times New Roman" w:cs="Times New Roman"/>
          <w:szCs w:val="24"/>
          <w:lang w:eastAsia="en-CA"/>
        </w:rPr>
        <w:t xml:space="preserve"> (</w:t>
      </w:r>
      <w:r w:rsidR="7DAD1EB5" w:rsidRPr="00F633D4">
        <w:rPr>
          <w:rFonts w:eastAsia="Times New Roman" w:cs="Times New Roman"/>
          <w:szCs w:val="24"/>
          <w:lang w:eastAsia="en-CA"/>
        </w:rPr>
        <w:t>e.g.,</w:t>
      </w:r>
      <w:r w:rsidR="30D079F2" w:rsidRPr="00F633D4">
        <w:rPr>
          <w:rFonts w:eastAsia="Times New Roman" w:cs="Times New Roman"/>
          <w:szCs w:val="24"/>
          <w:lang w:eastAsia="en-CA"/>
        </w:rPr>
        <w:t xml:space="preserve"> environmental, </w:t>
      </w:r>
      <w:r w:rsidR="076484D0" w:rsidRPr="00F633D4">
        <w:rPr>
          <w:rFonts w:eastAsia="Times New Roman" w:cs="Times New Roman"/>
          <w:szCs w:val="24"/>
          <w:lang w:eastAsia="en-CA"/>
        </w:rPr>
        <w:t xml:space="preserve">labour, </w:t>
      </w:r>
      <w:proofErr w:type="gramStart"/>
      <w:r w:rsidR="30D079F2" w:rsidRPr="00F633D4">
        <w:rPr>
          <w:rFonts w:eastAsia="Times New Roman" w:cs="Times New Roman"/>
          <w:szCs w:val="24"/>
          <w:lang w:eastAsia="en-CA"/>
        </w:rPr>
        <w:t>safety</w:t>
      </w:r>
      <w:proofErr w:type="gramEnd"/>
      <w:r w:rsidR="30D079F2" w:rsidRPr="00F633D4">
        <w:rPr>
          <w:rFonts w:eastAsia="Times New Roman" w:cs="Times New Roman"/>
          <w:szCs w:val="24"/>
          <w:lang w:eastAsia="en-CA"/>
        </w:rPr>
        <w:t xml:space="preserve"> and equity</w:t>
      </w:r>
      <w:r w:rsidR="076484D0" w:rsidRPr="00F633D4">
        <w:rPr>
          <w:rFonts w:eastAsia="Times New Roman" w:cs="Times New Roman"/>
          <w:szCs w:val="24"/>
          <w:lang w:eastAsia="en-CA"/>
        </w:rPr>
        <w:t xml:space="preserve"> standards</w:t>
      </w:r>
      <w:r w:rsidR="30D079F2" w:rsidRPr="00F633D4">
        <w:rPr>
          <w:rFonts w:eastAsia="Times New Roman" w:cs="Times New Roman"/>
          <w:szCs w:val="24"/>
          <w:lang w:eastAsia="en-CA"/>
        </w:rPr>
        <w:t>)</w:t>
      </w:r>
      <w:r w:rsidR="00C6406D" w:rsidRPr="00F633D4">
        <w:rPr>
          <w:rFonts w:eastAsia="Times New Roman" w:cs="Times New Roman"/>
          <w:szCs w:val="24"/>
          <w:lang w:eastAsia="en-CA"/>
        </w:rPr>
        <w:t>,</w:t>
      </w:r>
      <w:r w:rsidR="3A7B700D" w:rsidRPr="00F633D4">
        <w:rPr>
          <w:rFonts w:eastAsia="Times New Roman" w:cs="Times New Roman"/>
          <w:szCs w:val="24"/>
          <w:lang w:eastAsia="en-CA"/>
        </w:rPr>
        <w:t xml:space="preserve"> which </w:t>
      </w:r>
      <w:r w:rsidR="30D079F2" w:rsidRPr="00F633D4">
        <w:rPr>
          <w:rFonts w:eastAsia="Times New Roman" w:cs="Times New Roman"/>
          <w:szCs w:val="24"/>
          <w:lang w:eastAsia="en-CA"/>
        </w:rPr>
        <w:t>might not be in place in other jurisdictions</w:t>
      </w:r>
      <w:r w:rsidR="00240E66">
        <w:rPr>
          <w:rFonts w:eastAsia="Times New Roman" w:cs="Times New Roman"/>
          <w:szCs w:val="24"/>
          <w:lang w:eastAsia="en-CA"/>
        </w:rPr>
        <w:t xml:space="preserve"> (examples </w:t>
      </w:r>
      <w:r w:rsidR="00240E66" w:rsidRPr="00240E66">
        <w:rPr>
          <w:rFonts w:eastAsia="Times New Roman" w:cs="Times New Roman"/>
          <w:szCs w:val="24"/>
          <w:lang w:eastAsia="en-CA"/>
        </w:rPr>
        <w:t>are presented</w:t>
      </w:r>
      <w:r w:rsidR="00240E66">
        <w:rPr>
          <w:rFonts w:eastAsia="Times New Roman" w:cs="Times New Roman"/>
          <w:szCs w:val="24"/>
          <w:lang w:eastAsia="en-CA"/>
        </w:rPr>
        <w:t xml:space="preserve"> </w:t>
      </w:r>
      <w:r w:rsidR="00240E66" w:rsidRPr="00240E66">
        <w:rPr>
          <w:rFonts w:eastAsia="Times New Roman" w:cs="Times New Roman"/>
          <w:szCs w:val="24"/>
          <w:lang w:eastAsia="en-CA"/>
        </w:rPr>
        <w:t>in the table</w:t>
      </w:r>
      <w:r w:rsidR="00240E66">
        <w:rPr>
          <w:rFonts w:eastAsia="Times New Roman" w:cs="Times New Roman"/>
          <w:szCs w:val="24"/>
          <w:lang w:eastAsia="en-CA"/>
        </w:rPr>
        <w:t xml:space="preserve"> below)</w:t>
      </w:r>
      <w:r w:rsidR="30D079F2" w:rsidRPr="00F633D4">
        <w:rPr>
          <w:rFonts w:eastAsia="Times New Roman" w:cs="Times New Roman"/>
          <w:szCs w:val="24"/>
          <w:lang w:eastAsia="en-CA"/>
        </w:rPr>
        <w:t xml:space="preserve">. </w:t>
      </w:r>
    </w:p>
    <w:p w14:paraId="241C6461" w14:textId="77777777" w:rsidR="00FB43D1" w:rsidRPr="00FB43D1" w:rsidRDefault="00FB43D1" w:rsidP="00FB43D1">
      <w:pPr>
        <w:spacing w:after="240" w:line="271" w:lineRule="auto"/>
        <w:rPr>
          <w:rFonts w:eastAsiaTheme="majorEastAsia" w:cstheme="majorBidi"/>
          <w:b/>
          <w:bCs/>
          <w:color w:val="006E81" w:themeColor="text2"/>
          <w:szCs w:val="24"/>
          <w:lang w:eastAsia="en-CA"/>
        </w:rPr>
      </w:pPr>
      <w:r w:rsidRPr="00FB43D1">
        <w:rPr>
          <w:rFonts w:eastAsiaTheme="majorEastAsia" w:cstheme="majorBidi"/>
          <w:b/>
          <w:bCs/>
          <w:color w:val="006E81" w:themeColor="text2"/>
          <w:szCs w:val="24"/>
          <w:lang w:eastAsia="en-CA"/>
        </w:rPr>
        <w:t>When to use</w:t>
      </w:r>
    </w:p>
    <w:p w14:paraId="5DFD71C4" w14:textId="36592B1E" w:rsidR="00FB43D1" w:rsidRPr="00FB43D1" w:rsidRDefault="00FB43D1" w:rsidP="00D255AC">
      <w:pPr>
        <w:pStyle w:val="ListParagraph"/>
        <w:numPr>
          <w:ilvl w:val="0"/>
          <w:numId w:val="34"/>
        </w:numPr>
        <w:spacing w:before="120" w:after="240"/>
        <w:ind w:left="360"/>
        <w:contextualSpacing w:val="0"/>
        <w:rPr>
          <w:rFonts w:eastAsia="Times New Roman" w:cs="Times New Roman"/>
          <w:szCs w:val="24"/>
          <w:lang w:eastAsia="en-CA"/>
        </w:rPr>
      </w:pPr>
      <w:r w:rsidRPr="00E13AA6">
        <w:rPr>
          <w:rFonts w:eastAsia="Times New Roman" w:cs="Times New Roman"/>
          <w:szCs w:val="24"/>
          <w:lang w:eastAsia="en-CA"/>
        </w:rPr>
        <w:t xml:space="preserve">Public sector buyers should conduct market research to determine whether an Ontario business exists. This may include but is not limited to conducting a request for information (RFI) to determine which vendors are within the relevant market. Please refer to procurement planning tools available under the tools and templates </w:t>
      </w:r>
      <w:hyperlink r:id="rId14" w:history="1">
        <w:r w:rsidRPr="00E13AA6">
          <w:rPr>
            <w:rStyle w:val="Hyperlink"/>
            <w:rFonts w:eastAsia="Times New Roman" w:cs="Times New Roman"/>
            <w:szCs w:val="24"/>
            <w:lang w:eastAsia="en-CA"/>
          </w:rPr>
          <w:t>InsideOPS.</w:t>
        </w:r>
      </w:hyperlink>
      <w:r w:rsidRPr="00E13AA6">
        <w:rPr>
          <w:rFonts w:eastAsia="Times New Roman" w:cs="Times New Roman"/>
          <w:szCs w:val="24"/>
          <w:lang w:eastAsia="en-CA"/>
        </w:rPr>
        <w:t xml:space="preserve"> </w:t>
      </w:r>
    </w:p>
    <w:p w14:paraId="31A1E1AA" w14:textId="541D89AF" w:rsidR="00E13AA6" w:rsidRPr="000135A7" w:rsidRDefault="00646FC8" w:rsidP="00D255AC">
      <w:pPr>
        <w:pStyle w:val="ListParagraph"/>
        <w:numPr>
          <w:ilvl w:val="0"/>
          <w:numId w:val="34"/>
        </w:numPr>
        <w:spacing w:before="120" w:after="240"/>
        <w:ind w:left="360"/>
        <w:contextualSpacing w:val="0"/>
        <w:rPr>
          <w:szCs w:val="24"/>
          <w:shd w:val="clear" w:color="auto" w:fill="FFFFFF"/>
        </w:rPr>
      </w:pPr>
      <w:r w:rsidRPr="00E13AA6">
        <w:rPr>
          <w:szCs w:val="24"/>
          <w:shd w:val="clear" w:color="auto" w:fill="FFFFFF"/>
        </w:rPr>
        <w:t xml:space="preserve">The evaluation of </w:t>
      </w:r>
      <w:r w:rsidR="00275109" w:rsidRPr="00E13AA6">
        <w:rPr>
          <w:szCs w:val="24"/>
          <w:shd w:val="clear" w:color="auto" w:fill="FFFFFF"/>
        </w:rPr>
        <w:t>weight</w:t>
      </w:r>
      <w:r w:rsidR="0095533A" w:rsidRPr="00E13AA6">
        <w:rPr>
          <w:szCs w:val="24"/>
          <w:shd w:val="clear" w:color="auto" w:fill="FFFFFF"/>
        </w:rPr>
        <w:t>ed</w:t>
      </w:r>
      <w:r w:rsidR="00275109" w:rsidRPr="00E13AA6">
        <w:rPr>
          <w:szCs w:val="24"/>
          <w:shd w:val="clear" w:color="auto" w:fill="FFFFFF"/>
        </w:rPr>
        <w:t xml:space="preserve"> domestic criteria </w:t>
      </w:r>
      <w:r w:rsidR="0025122C" w:rsidRPr="00E13AA6">
        <w:rPr>
          <w:szCs w:val="24"/>
          <w:shd w:val="clear" w:color="auto" w:fill="FFFFFF"/>
        </w:rPr>
        <w:t>fit</w:t>
      </w:r>
      <w:r w:rsidR="00FE232B" w:rsidRPr="00E13AA6">
        <w:rPr>
          <w:szCs w:val="24"/>
          <w:shd w:val="clear" w:color="auto" w:fill="FFFFFF"/>
        </w:rPr>
        <w:t xml:space="preserve"> within </w:t>
      </w:r>
      <w:r w:rsidR="0088438C" w:rsidRPr="00E13AA6">
        <w:rPr>
          <w:szCs w:val="24"/>
          <w:shd w:val="clear" w:color="auto" w:fill="FFFFFF"/>
        </w:rPr>
        <w:t xml:space="preserve">a typical </w:t>
      </w:r>
      <w:r w:rsidR="00FE232B" w:rsidRPr="00E13AA6">
        <w:rPr>
          <w:szCs w:val="24"/>
          <w:shd w:val="clear" w:color="auto" w:fill="FFFFFF"/>
        </w:rPr>
        <w:t xml:space="preserve">evaluation </w:t>
      </w:r>
      <w:r w:rsidR="009130C9" w:rsidRPr="00E13AA6">
        <w:rPr>
          <w:szCs w:val="24"/>
          <w:shd w:val="clear" w:color="auto" w:fill="FFFFFF"/>
        </w:rPr>
        <w:t xml:space="preserve">process </w:t>
      </w:r>
      <w:r w:rsidR="3FC8F571" w:rsidRPr="00E13AA6">
        <w:rPr>
          <w:szCs w:val="24"/>
          <w:shd w:val="clear" w:color="auto" w:fill="FFFFFF"/>
        </w:rPr>
        <w:t xml:space="preserve">and </w:t>
      </w:r>
      <w:r w:rsidR="00EA5CBA" w:rsidRPr="00E13AA6">
        <w:rPr>
          <w:szCs w:val="24"/>
          <w:shd w:val="clear" w:color="auto" w:fill="FFFFFF"/>
        </w:rPr>
        <w:t xml:space="preserve">can </w:t>
      </w:r>
      <w:r w:rsidR="00403B3A" w:rsidRPr="00E13AA6">
        <w:rPr>
          <w:szCs w:val="24"/>
          <w:shd w:val="clear" w:color="auto" w:fill="FFFFFF"/>
        </w:rPr>
        <w:t xml:space="preserve">be </w:t>
      </w:r>
      <w:r w:rsidR="009130C9" w:rsidRPr="00E13AA6">
        <w:rPr>
          <w:szCs w:val="24"/>
          <w:shd w:val="clear" w:color="auto" w:fill="FFFFFF"/>
        </w:rPr>
        <w:t xml:space="preserve">included </w:t>
      </w:r>
      <w:r w:rsidR="00996952" w:rsidRPr="00E13AA6">
        <w:rPr>
          <w:szCs w:val="24"/>
        </w:rPr>
        <w:t>as part of</w:t>
      </w:r>
      <w:r w:rsidR="009130C9" w:rsidRPr="00E13AA6">
        <w:rPr>
          <w:szCs w:val="24"/>
          <w:shd w:val="clear" w:color="auto" w:fill="FFFFFF"/>
        </w:rPr>
        <w:t xml:space="preserve"> the evaluation </w:t>
      </w:r>
      <w:r w:rsidR="00FE232B" w:rsidRPr="00E13AA6">
        <w:rPr>
          <w:szCs w:val="24"/>
          <w:shd w:val="clear" w:color="auto" w:fill="FFFFFF"/>
        </w:rPr>
        <w:t>of rated criteria</w:t>
      </w:r>
      <w:r w:rsidR="0007096C" w:rsidRPr="00E13AA6">
        <w:rPr>
          <w:szCs w:val="24"/>
          <w:shd w:val="clear" w:color="auto" w:fill="FFFFFF"/>
        </w:rPr>
        <w:t xml:space="preserve">. While </w:t>
      </w:r>
      <w:r w:rsidR="0007096C" w:rsidRPr="00E13AA6">
        <w:rPr>
          <w:szCs w:val="24"/>
          <w:shd w:val="clear" w:color="auto" w:fill="FFFFFF"/>
        </w:rPr>
        <w:lastRenderedPageBreak/>
        <w:t>there are variations of the evaluation process, a</w:t>
      </w:r>
      <w:r w:rsidR="0095533A" w:rsidRPr="00E13AA6">
        <w:rPr>
          <w:szCs w:val="24"/>
          <w:shd w:val="clear" w:color="auto" w:fill="FFFFFF"/>
        </w:rPr>
        <w:t>n</w:t>
      </w:r>
      <w:r w:rsidR="0007096C" w:rsidRPr="00E13AA6">
        <w:rPr>
          <w:szCs w:val="24"/>
          <w:shd w:val="clear" w:color="auto" w:fill="FFFFFF"/>
        </w:rPr>
        <w:t xml:space="preserve"> </w:t>
      </w:r>
      <w:r w:rsidR="00E46985" w:rsidRPr="00E13AA6">
        <w:rPr>
          <w:szCs w:val="24"/>
          <w:shd w:val="clear" w:color="auto" w:fill="FFFFFF"/>
        </w:rPr>
        <w:t>e</w:t>
      </w:r>
      <w:r w:rsidR="00444D54" w:rsidRPr="00E13AA6">
        <w:rPr>
          <w:szCs w:val="24"/>
          <w:shd w:val="clear" w:color="auto" w:fill="FFFFFF"/>
        </w:rPr>
        <w:t xml:space="preserve">xample of a </w:t>
      </w:r>
      <w:r w:rsidR="0007096C" w:rsidRPr="00E13AA6">
        <w:rPr>
          <w:szCs w:val="24"/>
          <w:shd w:val="clear" w:color="auto" w:fill="FFFFFF"/>
        </w:rPr>
        <w:t xml:space="preserve">typical </w:t>
      </w:r>
      <w:r w:rsidR="00444D54" w:rsidRPr="00E13AA6">
        <w:rPr>
          <w:szCs w:val="24"/>
          <w:shd w:val="clear" w:color="auto" w:fill="FFFFFF"/>
        </w:rPr>
        <w:t>three</w:t>
      </w:r>
      <w:r w:rsidR="0095533A" w:rsidRPr="00E13AA6">
        <w:rPr>
          <w:szCs w:val="24"/>
          <w:shd w:val="clear" w:color="auto" w:fill="FFFFFF"/>
        </w:rPr>
        <w:t>-</w:t>
      </w:r>
      <w:r w:rsidR="00444D54" w:rsidRPr="00E13AA6">
        <w:rPr>
          <w:szCs w:val="24"/>
          <w:shd w:val="clear" w:color="auto" w:fill="FFFFFF"/>
        </w:rPr>
        <w:t xml:space="preserve">stage </w:t>
      </w:r>
      <w:r w:rsidR="00E9683F" w:rsidRPr="00E13AA6">
        <w:rPr>
          <w:szCs w:val="24"/>
          <w:shd w:val="clear" w:color="auto" w:fill="FFFFFF"/>
        </w:rPr>
        <w:t xml:space="preserve">evaluation </w:t>
      </w:r>
      <w:r w:rsidR="0007096C" w:rsidRPr="00E13AA6">
        <w:rPr>
          <w:szCs w:val="24"/>
          <w:shd w:val="clear" w:color="auto" w:fill="FFFFFF"/>
        </w:rPr>
        <w:t>process</w:t>
      </w:r>
      <w:r w:rsidR="00F648F8" w:rsidRPr="00E13AA6">
        <w:rPr>
          <w:szCs w:val="24"/>
          <w:shd w:val="clear" w:color="auto" w:fill="FFFFFF"/>
        </w:rPr>
        <w:t xml:space="preserve"> is</w:t>
      </w:r>
      <w:r w:rsidR="0007096C" w:rsidRPr="00E13AA6">
        <w:rPr>
          <w:szCs w:val="24"/>
          <w:shd w:val="clear" w:color="auto" w:fill="FFFFFF"/>
        </w:rPr>
        <w:t>:</w:t>
      </w:r>
    </w:p>
    <w:p w14:paraId="1E55C08C" w14:textId="07D93036" w:rsidR="0007096C" w:rsidRPr="00995818" w:rsidRDefault="0007096C" w:rsidP="00D255AC">
      <w:pPr>
        <w:pStyle w:val="ListParagraph"/>
        <w:numPr>
          <w:ilvl w:val="0"/>
          <w:numId w:val="53"/>
        </w:numPr>
        <w:spacing w:after="240" w:line="240" w:lineRule="auto"/>
        <w:ind w:left="360"/>
        <w:contextualSpacing w:val="0"/>
        <w:rPr>
          <w:szCs w:val="24"/>
        </w:rPr>
      </w:pPr>
      <w:r w:rsidRPr="00995818">
        <w:rPr>
          <w:szCs w:val="24"/>
        </w:rPr>
        <w:t>Evaluation of the Mandatory Requirements which are pass/</w:t>
      </w:r>
      <w:r w:rsidR="008350F3" w:rsidRPr="00995818">
        <w:rPr>
          <w:szCs w:val="24"/>
        </w:rPr>
        <w:t>fail.</w:t>
      </w:r>
    </w:p>
    <w:p w14:paraId="5AC87E12" w14:textId="1A759BA3" w:rsidR="0007096C" w:rsidRPr="00995818" w:rsidRDefault="0007096C" w:rsidP="00D255AC">
      <w:pPr>
        <w:pStyle w:val="ListParagraph"/>
        <w:numPr>
          <w:ilvl w:val="0"/>
          <w:numId w:val="53"/>
        </w:numPr>
        <w:spacing w:after="240" w:line="240" w:lineRule="auto"/>
        <w:ind w:left="360" w:hanging="357"/>
        <w:contextualSpacing w:val="0"/>
        <w:rPr>
          <w:szCs w:val="24"/>
        </w:rPr>
      </w:pPr>
      <w:r w:rsidRPr="00995818">
        <w:rPr>
          <w:szCs w:val="24"/>
        </w:rPr>
        <w:t xml:space="preserve">Evaluation of the Rated Criteria </w:t>
      </w:r>
      <w:r w:rsidR="00662212" w:rsidRPr="00995818">
        <w:rPr>
          <w:szCs w:val="24"/>
        </w:rPr>
        <w:t xml:space="preserve">including </w:t>
      </w:r>
      <w:r w:rsidR="008952CB" w:rsidRPr="00995818">
        <w:rPr>
          <w:szCs w:val="24"/>
        </w:rPr>
        <w:t xml:space="preserve">Weighted </w:t>
      </w:r>
      <w:r w:rsidR="00662212" w:rsidRPr="00995818">
        <w:rPr>
          <w:szCs w:val="24"/>
        </w:rPr>
        <w:t>Domestic Criteria</w:t>
      </w:r>
      <w:r w:rsidR="00D42454" w:rsidRPr="00995818">
        <w:rPr>
          <w:szCs w:val="24"/>
        </w:rPr>
        <w:t>.</w:t>
      </w:r>
    </w:p>
    <w:p w14:paraId="40C66CD9" w14:textId="2796A107" w:rsidR="0006266A" w:rsidRPr="00995818" w:rsidRDefault="0007096C" w:rsidP="00D255AC">
      <w:pPr>
        <w:pStyle w:val="ListParagraph"/>
        <w:numPr>
          <w:ilvl w:val="0"/>
          <w:numId w:val="53"/>
        </w:numPr>
        <w:spacing w:after="240" w:line="240" w:lineRule="auto"/>
        <w:ind w:left="360" w:hanging="357"/>
        <w:contextualSpacing w:val="0"/>
        <w:rPr>
          <w:szCs w:val="24"/>
        </w:rPr>
      </w:pPr>
      <w:r w:rsidRPr="00995818">
        <w:rPr>
          <w:szCs w:val="24"/>
        </w:rPr>
        <w:t>Evaluation of Pricing.</w:t>
      </w:r>
    </w:p>
    <w:p w14:paraId="58AC62EE" w14:textId="1CD4618C" w:rsidR="00CB17C7" w:rsidRPr="004021CF" w:rsidRDefault="00CB17C7" w:rsidP="005F0DFF">
      <w:pPr>
        <w:spacing w:after="240" w:line="240" w:lineRule="auto"/>
        <w:rPr>
          <w:rFonts w:eastAsiaTheme="majorEastAsia" w:cstheme="majorBidi"/>
          <w:b/>
          <w:bCs/>
          <w:color w:val="006E81" w:themeColor="text2"/>
          <w:szCs w:val="24"/>
          <w:lang w:eastAsia="en-CA"/>
        </w:rPr>
      </w:pPr>
      <w:r w:rsidRPr="004021CF">
        <w:rPr>
          <w:rFonts w:eastAsiaTheme="majorEastAsia" w:cstheme="majorBidi"/>
          <w:b/>
          <w:bCs/>
          <w:color w:val="006E81" w:themeColor="text2"/>
          <w:szCs w:val="24"/>
          <w:lang w:eastAsia="en-CA"/>
        </w:rPr>
        <w:t>Examples of Weighted Domestic Criteria:</w:t>
      </w:r>
    </w:p>
    <w:p w14:paraId="599B4A60" w14:textId="6B836B97" w:rsidR="00206A59" w:rsidRDefault="00206A59" w:rsidP="00995818">
      <w:pPr>
        <w:spacing w:before="120" w:after="240"/>
        <w:rPr>
          <w:rFonts w:eastAsia="Times New Roman" w:cs="Times New Roman"/>
          <w:lang w:eastAsia="en-CA"/>
        </w:rPr>
      </w:pPr>
      <w:r w:rsidRPr="3EC3F246">
        <w:rPr>
          <w:rFonts w:eastAsia="Times New Roman" w:cs="Times New Roman"/>
          <w:lang w:eastAsia="en-CA"/>
        </w:rPr>
        <w:t xml:space="preserve">The table below </w:t>
      </w:r>
      <w:r w:rsidR="4A689D84" w:rsidRPr="3EC3F246">
        <w:rPr>
          <w:rFonts w:eastAsia="Times New Roman" w:cs="Times New Roman"/>
          <w:lang w:eastAsia="en-CA"/>
        </w:rPr>
        <w:t xml:space="preserve">contains a list of </w:t>
      </w:r>
      <w:r w:rsidR="002A122B">
        <w:rPr>
          <w:rFonts w:eastAsia="Times New Roman" w:cs="Times New Roman"/>
          <w:lang w:eastAsia="en-CA"/>
        </w:rPr>
        <w:t xml:space="preserve">examples of </w:t>
      </w:r>
      <w:r w:rsidR="4A689D84" w:rsidRPr="3EC3F246">
        <w:rPr>
          <w:rFonts w:eastAsia="Times New Roman" w:cs="Times New Roman"/>
          <w:lang w:eastAsia="en-CA"/>
        </w:rPr>
        <w:t xml:space="preserve">various types </w:t>
      </w:r>
      <w:r w:rsidR="00561977" w:rsidRPr="3EC3F246">
        <w:rPr>
          <w:rFonts w:eastAsia="Times New Roman" w:cs="Times New Roman"/>
          <w:lang w:eastAsia="en-CA"/>
        </w:rPr>
        <w:t>of weighted</w:t>
      </w:r>
      <w:r w:rsidRPr="3EC3F246">
        <w:rPr>
          <w:rFonts w:eastAsia="Times New Roman" w:cs="Times New Roman"/>
          <w:lang w:eastAsia="en-CA"/>
        </w:rPr>
        <w:t xml:space="preserve"> domestic criteria</w:t>
      </w:r>
      <w:r w:rsidR="089DAA9F" w:rsidRPr="3EC3F246">
        <w:rPr>
          <w:rFonts w:eastAsia="Times New Roman" w:cs="Times New Roman"/>
          <w:lang w:eastAsia="en-CA"/>
        </w:rPr>
        <w:t xml:space="preserve"> and a corresponding </w:t>
      </w:r>
      <w:r w:rsidR="007B5923" w:rsidRPr="3EC3F246">
        <w:rPr>
          <w:rFonts w:eastAsia="Times New Roman" w:cs="Times New Roman"/>
          <w:lang w:eastAsia="en-CA"/>
        </w:rPr>
        <w:t>description</w:t>
      </w:r>
      <w:r w:rsidR="007B5923">
        <w:rPr>
          <w:rFonts w:eastAsia="Times New Roman" w:cs="Times New Roman"/>
          <w:lang w:eastAsia="en-CA"/>
        </w:rPr>
        <w:t>.</w:t>
      </w:r>
      <w:r w:rsidR="007B5923" w:rsidRPr="3EC3F246">
        <w:rPr>
          <w:rFonts w:eastAsia="Times New Roman" w:cs="Times New Roman"/>
          <w:lang w:eastAsia="en-CA"/>
        </w:rPr>
        <w:t xml:space="preserve"> This</w:t>
      </w:r>
      <w:r w:rsidR="3A2A0153" w:rsidRPr="3EC3F246">
        <w:rPr>
          <w:rFonts w:eastAsia="Times New Roman" w:cs="Times New Roman"/>
          <w:lang w:eastAsia="en-CA"/>
        </w:rPr>
        <w:t xml:space="preserve"> </w:t>
      </w:r>
      <w:r w:rsidRPr="3EC3F246">
        <w:rPr>
          <w:rFonts w:eastAsia="Times New Roman" w:cs="Times New Roman"/>
          <w:lang w:eastAsia="en-CA"/>
        </w:rPr>
        <w:t xml:space="preserve">is not a </w:t>
      </w:r>
      <w:r w:rsidR="00B10E59" w:rsidRPr="3EC3F246">
        <w:rPr>
          <w:rFonts w:eastAsia="Times New Roman" w:cs="Times New Roman"/>
          <w:lang w:eastAsia="en-CA"/>
        </w:rPr>
        <w:t>comprehensive</w:t>
      </w:r>
      <w:r w:rsidR="002727C2" w:rsidRPr="3EC3F246">
        <w:rPr>
          <w:rFonts w:eastAsia="Times New Roman" w:cs="Times New Roman"/>
          <w:lang w:eastAsia="en-CA"/>
        </w:rPr>
        <w:t xml:space="preserve"> </w:t>
      </w:r>
      <w:r w:rsidRPr="3EC3F246">
        <w:rPr>
          <w:rFonts w:eastAsia="Times New Roman" w:cs="Times New Roman"/>
          <w:lang w:eastAsia="en-CA"/>
        </w:rPr>
        <w:t>list and buyers may identify other criteria that suit their procurements.</w:t>
      </w:r>
    </w:p>
    <w:p w14:paraId="13F753F9" w14:textId="77777777" w:rsidR="00C32B93" w:rsidRDefault="008350F3" w:rsidP="00995818">
      <w:pPr>
        <w:spacing w:before="120" w:after="240"/>
        <w:rPr>
          <w:rFonts w:eastAsia="Times New Roman" w:cs="Times New Roman"/>
          <w:lang w:eastAsia="en-CA"/>
        </w:rPr>
      </w:pPr>
      <w:r>
        <w:rPr>
          <w:rFonts w:eastAsia="Times New Roman" w:cs="Times New Roman"/>
          <w:lang w:eastAsia="en-CA"/>
        </w:rPr>
        <w:t>Note th</w:t>
      </w:r>
      <w:r w:rsidR="008E0742">
        <w:rPr>
          <w:rFonts w:eastAsia="Times New Roman" w:cs="Times New Roman"/>
          <w:lang w:eastAsia="en-CA"/>
        </w:rPr>
        <w:t xml:space="preserve">ese are </w:t>
      </w:r>
      <w:r w:rsidR="001A5921">
        <w:rPr>
          <w:rFonts w:eastAsia="Times New Roman" w:cs="Times New Roman"/>
          <w:lang w:eastAsia="en-CA"/>
        </w:rPr>
        <w:t>categories of weighted domestic criteria which are</w:t>
      </w:r>
      <w:r w:rsidR="008E0742">
        <w:rPr>
          <w:rFonts w:eastAsia="Times New Roman" w:cs="Times New Roman"/>
          <w:lang w:eastAsia="en-CA"/>
        </w:rPr>
        <w:t xml:space="preserve"> </w:t>
      </w:r>
      <w:r w:rsidR="00F2132C">
        <w:rPr>
          <w:rFonts w:eastAsia="Times New Roman" w:cs="Times New Roman"/>
          <w:lang w:eastAsia="en-CA"/>
        </w:rPr>
        <w:t>mean</w:t>
      </w:r>
      <w:r w:rsidR="002F6596">
        <w:rPr>
          <w:rFonts w:eastAsia="Times New Roman" w:cs="Times New Roman"/>
          <w:lang w:eastAsia="en-CA"/>
        </w:rPr>
        <w:t>t</w:t>
      </w:r>
      <w:r w:rsidR="00F2132C">
        <w:rPr>
          <w:rFonts w:eastAsia="Times New Roman" w:cs="Times New Roman"/>
          <w:lang w:eastAsia="en-CA"/>
        </w:rPr>
        <w:t xml:space="preserve"> to </w:t>
      </w:r>
      <w:r w:rsidR="008E0742">
        <w:rPr>
          <w:rFonts w:eastAsia="Times New Roman" w:cs="Times New Roman"/>
          <w:lang w:eastAsia="en-CA"/>
        </w:rPr>
        <w:t xml:space="preserve">serve as a guide and </w:t>
      </w:r>
      <w:r w:rsidR="001A5921">
        <w:rPr>
          <w:rFonts w:eastAsia="Times New Roman" w:cs="Times New Roman"/>
          <w:lang w:eastAsia="en-CA"/>
        </w:rPr>
        <w:t xml:space="preserve">are </w:t>
      </w:r>
      <w:r w:rsidR="008E0742">
        <w:rPr>
          <w:rFonts w:eastAsia="Times New Roman" w:cs="Times New Roman"/>
          <w:lang w:eastAsia="en-CA"/>
        </w:rPr>
        <w:t>not intended</w:t>
      </w:r>
      <w:r w:rsidR="00F2132C">
        <w:rPr>
          <w:rFonts w:eastAsia="Times New Roman" w:cs="Times New Roman"/>
          <w:lang w:eastAsia="en-CA"/>
        </w:rPr>
        <w:t xml:space="preserve"> to be </w:t>
      </w:r>
      <w:r w:rsidR="00711CF2">
        <w:rPr>
          <w:rFonts w:eastAsia="Times New Roman" w:cs="Times New Roman"/>
          <w:lang w:eastAsia="en-CA"/>
        </w:rPr>
        <w:t>copied verbatim</w:t>
      </w:r>
      <w:r w:rsidR="005E33D3">
        <w:rPr>
          <w:rFonts w:eastAsia="Times New Roman" w:cs="Times New Roman"/>
          <w:lang w:eastAsia="en-CA"/>
        </w:rPr>
        <w:t>.</w:t>
      </w:r>
      <w:r w:rsidR="00711CF2">
        <w:rPr>
          <w:rFonts w:eastAsia="Times New Roman" w:cs="Times New Roman"/>
          <w:lang w:eastAsia="en-CA"/>
        </w:rPr>
        <w:t xml:space="preserve"> </w:t>
      </w:r>
      <w:r w:rsidR="003A18F2">
        <w:rPr>
          <w:rFonts w:eastAsia="Times New Roman" w:cs="Times New Roman"/>
          <w:lang w:eastAsia="en-CA"/>
        </w:rPr>
        <w:t xml:space="preserve">Since each procurement is unique, </w:t>
      </w:r>
      <w:r w:rsidR="00D605C7">
        <w:rPr>
          <w:rFonts w:eastAsia="Times New Roman" w:cs="Times New Roman"/>
          <w:lang w:eastAsia="en-CA"/>
        </w:rPr>
        <w:t xml:space="preserve">the </w:t>
      </w:r>
      <w:r w:rsidR="003A18F2">
        <w:rPr>
          <w:rFonts w:eastAsia="Times New Roman" w:cs="Times New Roman"/>
          <w:lang w:eastAsia="en-CA"/>
        </w:rPr>
        <w:t>w</w:t>
      </w:r>
      <w:r w:rsidR="004F47C5">
        <w:rPr>
          <w:rFonts w:eastAsia="Times New Roman" w:cs="Times New Roman"/>
          <w:lang w:eastAsia="en-CA"/>
        </w:rPr>
        <w:t>e</w:t>
      </w:r>
      <w:r w:rsidR="00090AA3">
        <w:rPr>
          <w:rFonts w:eastAsia="Times New Roman" w:cs="Times New Roman"/>
          <w:lang w:eastAsia="en-CA"/>
        </w:rPr>
        <w:t xml:space="preserve">ighted </w:t>
      </w:r>
      <w:r w:rsidR="001A5921">
        <w:rPr>
          <w:rFonts w:eastAsia="Times New Roman" w:cs="Times New Roman"/>
          <w:lang w:eastAsia="en-CA"/>
        </w:rPr>
        <w:t>domestic criteri</w:t>
      </w:r>
      <w:r w:rsidR="00D605C7">
        <w:rPr>
          <w:rFonts w:eastAsia="Times New Roman" w:cs="Times New Roman"/>
          <w:lang w:eastAsia="en-CA"/>
        </w:rPr>
        <w:t xml:space="preserve">on </w:t>
      </w:r>
      <w:r w:rsidR="003D02FC">
        <w:rPr>
          <w:rFonts w:eastAsia="Times New Roman" w:cs="Times New Roman"/>
          <w:lang w:eastAsia="en-CA"/>
        </w:rPr>
        <w:t>must be</w:t>
      </w:r>
      <w:r w:rsidR="00090AA3">
        <w:rPr>
          <w:rFonts w:eastAsia="Times New Roman" w:cs="Times New Roman"/>
          <w:lang w:eastAsia="en-CA"/>
        </w:rPr>
        <w:t xml:space="preserve"> </w:t>
      </w:r>
      <w:r w:rsidR="00E858EB">
        <w:rPr>
          <w:rFonts w:eastAsia="Times New Roman" w:cs="Times New Roman"/>
          <w:lang w:eastAsia="en-CA"/>
        </w:rPr>
        <w:t>relevant</w:t>
      </w:r>
      <w:r w:rsidR="00090AA3">
        <w:rPr>
          <w:rFonts w:eastAsia="Times New Roman" w:cs="Times New Roman"/>
          <w:lang w:eastAsia="en-CA"/>
        </w:rPr>
        <w:t xml:space="preserve"> to </w:t>
      </w:r>
      <w:r w:rsidR="00E858EB">
        <w:rPr>
          <w:rFonts w:eastAsia="Times New Roman" w:cs="Times New Roman"/>
          <w:lang w:eastAsia="en-CA"/>
        </w:rPr>
        <w:t>the</w:t>
      </w:r>
      <w:r w:rsidR="00090AA3">
        <w:rPr>
          <w:rFonts w:eastAsia="Times New Roman" w:cs="Times New Roman"/>
          <w:lang w:eastAsia="en-CA"/>
        </w:rPr>
        <w:t xml:space="preserve"> </w:t>
      </w:r>
      <w:r w:rsidR="00D605C7">
        <w:rPr>
          <w:rFonts w:eastAsia="Times New Roman" w:cs="Times New Roman"/>
          <w:lang w:eastAsia="en-CA"/>
        </w:rPr>
        <w:t xml:space="preserve">specific </w:t>
      </w:r>
      <w:r w:rsidR="00090AA3">
        <w:rPr>
          <w:rFonts w:eastAsia="Times New Roman" w:cs="Times New Roman"/>
          <w:lang w:eastAsia="en-CA"/>
        </w:rPr>
        <w:t>procurement</w:t>
      </w:r>
      <w:r w:rsidR="00E858EB">
        <w:rPr>
          <w:rFonts w:eastAsia="Times New Roman" w:cs="Times New Roman"/>
          <w:lang w:eastAsia="en-CA"/>
        </w:rPr>
        <w:t xml:space="preserve"> </w:t>
      </w:r>
      <w:r w:rsidR="00C448EB">
        <w:rPr>
          <w:rFonts w:eastAsia="Times New Roman" w:cs="Times New Roman"/>
          <w:lang w:eastAsia="en-CA"/>
        </w:rPr>
        <w:t>and</w:t>
      </w:r>
      <w:r w:rsidR="00B46084">
        <w:rPr>
          <w:rFonts w:eastAsia="Times New Roman" w:cs="Times New Roman"/>
          <w:lang w:eastAsia="en-CA"/>
        </w:rPr>
        <w:t xml:space="preserve"> buyers are to develop</w:t>
      </w:r>
      <w:r w:rsidR="00C448EB">
        <w:rPr>
          <w:rFonts w:eastAsia="Times New Roman" w:cs="Times New Roman"/>
          <w:lang w:eastAsia="en-CA"/>
        </w:rPr>
        <w:t xml:space="preserve"> the associate</w:t>
      </w:r>
      <w:r w:rsidR="000628E1">
        <w:rPr>
          <w:rFonts w:eastAsia="Times New Roman" w:cs="Times New Roman"/>
          <w:lang w:eastAsia="en-CA"/>
        </w:rPr>
        <w:t>d</w:t>
      </w:r>
      <w:r w:rsidR="00C448EB">
        <w:rPr>
          <w:rFonts w:eastAsia="Times New Roman" w:cs="Times New Roman"/>
          <w:lang w:eastAsia="en-CA"/>
        </w:rPr>
        <w:t xml:space="preserve"> evaluation questions</w:t>
      </w:r>
      <w:r w:rsidR="00B46084">
        <w:rPr>
          <w:rFonts w:eastAsia="Times New Roman" w:cs="Times New Roman"/>
          <w:lang w:eastAsia="en-CA"/>
        </w:rPr>
        <w:t xml:space="preserve">. </w:t>
      </w:r>
    </w:p>
    <w:p w14:paraId="2948DF13" w14:textId="49ADBF0D" w:rsidR="008C55D3" w:rsidRPr="00E12F84" w:rsidRDefault="00BA6F0A" w:rsidP="00995818">
      <w:pPr>
        <w:spacing w:before="120" w:after="240"/>
        <w:rPr>
          <w:rFonts w:eastAsia="Times New Roman" w:cs="Times New Roman"/>
          <w:lang w:eastAsia="en-CA"/>
        </w:rPr>
      </w:pPr>
      <w:r>
        <w:rPr>
          <w:rFonts w:eastAsia="Times New Roman" w:cs="Times New Roman"/>
          <w:lang w:eastAsia="en-CA"/>
        </w:rPr>
        <w:t xml:space="preserve">The selected </w:t>
      </w:r>
      <w:r w:rsidRPr="000202DB">
        <w:rPr>
          <w:szCs w:val="24"/>
        </w:rPr>
        <w:t xml:space="preserve">weighted domestic criteria </w:t>
      </w:r>
      <w:r w:rsidRPr="00BA6F0A">
        <w:rPr>
          <w:szCs w:val="24"/>
        </w:rPr>
        <w:t xml:space="preserve">should be clearly </w:t>
      </w:r>
      <w:r>
        <w:rPr>
          <w:szCs w:val="24"/>
        </w:rPr>
        <w:t>relevant</w:t>
      </w:r>
      <w:r w:rsidRPr="00BA6F0A">
        <w:rPr>
          <w:szCs w:val="24"/>
        </w:rPr>
        <w:t xml:space="preserve"> to the sector or item being procured, and the rationale for how the </w:t>
      </w:r>
      <w:r w:rsidRPr="000202DB">
        <w:rPr>
          <w:szCs w:val="24"/>
        </w:rPr>
        <w:t>weighted domestic criteria</w:t>
      </w:r>
      <w:r w:rsidRPr="00BA6F0A">
        <w:rPr>
          <w:szCs w:val="24"/>
        </w:rPr>
        <w:t xml:space="preserve"> will impact the procurement should be easily explained</w:t>
      </w:r>
      <w:r>
        <w:rPr>
          <w:szCs w:val="24"/>
        </w:rPr>
        <w:t>.</w:t>
      </w:r>
      <w:r w:rsidR="0012684C">
        <w:rPr>
          <w:szCs w:val="24"/>
        </w:rPr>
        <w:t xml:space="preserve">  </w:t>
      </w:r>
    </w:p>
    <w:tbl>
      <w:tblPr>
        <w:tblStyle w:val="GridTable4-Accent1"/>
        <w:tblW w:w="5000" w:type="pct"/>
        <w:tblLook w:val="0420" w:firstRow="1" w:lastRow="0" w:firstColumn="0" w:lastColumn="0" w:noHBand="0" w:noVBand="1"/>
        <w:tblCaption w:val="Table 2: Examples of Weighted Domestic Criteria"/>
        <w:tblDescription w:val="Examples of Weighted Domestic Criteria are as follows:"/>
      </w:tblPr>
      <w:tblGrid>
        <w:gridCol w:w="2263"/>
        <w:gridCol w:w="7087"/>
      </w:tblGrid>
      <w:tr w:rsidR="001C397B" w:rsidRPr="000202DB" w14:paraId="14DB463A" w14:textId="77777777" w:rsidTr="000D438C">
        <w:trPr>
          <w:cnfStyle w:val="100000000000" w:firstRow="1" w:lastRow="0" w:firstColumn="0" w:lastColumn="0" w:oddVBand="0" w:evenVBand="0" w:oddHBand="0" w:evenHBand="0" w:firstRowFirstColumn="0" w:firstRowLastColumn="0" w:lastRowFirstColumn="0" w:lastRowLastColumn="0"/>
          <w:trHeight w:val="684"/>
        </w:trPr>
        <w:tc>
          <w:tcPr>
            <w:tcW w:w="1210" w:type="pct"/>
            <w:hideMark/>
          </w:tcPr>
          <w:p w14:paraId="6CDCF61A" w14:textId="12D47C7C" w:rsidR="00684A90" w:rsidRPr="000202DB" w:rsidRDefault="001F6B5E" w:rsidP="00264B5C">
            <w:pPr>
              <w:spacing w:before="0"/>
              <w:contextualSpacing/>
              <w:rPr>
                <w:b w:val="0"/>
                <w:bCs w:val="0"/>
                <w:szCs w:val="24"/>
              </w:rPr>
            </w:pPr>
            <w:r w:rsidRPr="000202DB">
              <w:rPr>
                <w:szCs w:val="24"/>
              </w:rPr>
              <w:t>Domestic Criteria</w:t>
            </w:r>
          </w:p>
        </w:tc>
        <w:tc>
          <w:tcPr>
            <w:tcW w:w="3790" w:type="pct"/>
            <w:hideMark/>
          </w:tcPr>
          <w:p w14:paraId="73DA32C9" w14:textId="338CE239" w:rsidR="00684A90" w:rsidRPr="000202DB" w:rsidRDefault="00684A90" w:rsidP="00264B5C">
            <w:pPr>
              <w:spacing w:before="0"/>
              <w:contextualSpacing/>
              <w:rPr>
                <w:b w:val="0"/>
                <w:bCs w:val="0"/>
                <w:szCs w:val="24"/>
              </w:rPr>
            </w:pPr>
            <w:r w:rsidRPr="000202DB">
              <w:rPr>
                <w:szCs w:val="24"/>
              </w:rPr>
              <w:t>Description</w:t>
            </w:r>
          </w:p>
        </w:tc>
      </w:tr>
      <w:tr w:rsidR="001C397B" w:rsidRPr="000202DB" w14:paraId="7FFF137D" w14:textId="77777777" w:rsidTr="000D438C">
        <w:trPr>
          <w:cnfStyle w:val="000000100000" w:firstRow="0" w:lastRow="0" w:firstColumn="0" w:lastColumn="0" w:oddVBand="0" w:evenVBand="0" w:oddHBand="1" w:evenHBand="0" w:firstRowFirstColumn="0" w:firstRowLastColumn="0" w:lastRowFirstColumn="0" w:lastRowLastColumn="0"/>
          <w:trHeight w:val="745"/>
        </w:trPr>
        <w:tc>
          <w:tcPr>
            <w:tcW w:w="1210" w:type="pct"/>
            <w:hideMark/>
          </w:tcPr>
          <w:p w14:paraId="3B21E6A1" w14:textId="77777777" w:rsidR="00684A90" w:rsidRPr="000202DB" w:rsidRDefault="00684A90" w:rsidP="00264B5C">
            <w:pPr>
              <w:spacing w:before="0"/>
              <w:contextualSpacing/>
              <w:rPr>
                <w:szCs w:val="24"/>
              </w:rPr>
            </w:pPr>
            <w:r w:rsidRPr="000202DB">
              <w:rPr>
                <w:szCs w:val="24"/>
              </w:rPr>
              <w:t xml:space="preserve">Supply Chain Security </w:t>
            </w:r>
          </w:p>
        </w:tc>
        <w:tc>
          <w:tcPr>
            <w:tcW w:w="3790" w:type="pct"/>
            <w:hideMark/>
          </w:tcPr>
          <w:p w14:paraId="1E9973E0" w14:textId="77777777" w:rsidR="00684A90" w:rsidRPr="000202DB" w:rsidRDefault="00684A90" w:rsidP="00264B5C">
            <w:pPr>
              <w:spacing w:before="0"/>
              <w:contextualSpacing/>
              <w:rPr>
                <w:szCs w:val="24"/>
              </w:rPr>
            </w:pPr>
            <w:r w:rsidRPr="000202DB">
              <w:rPr>
                <w:szCs w:val="24"/>
              </w:rPr>
              <w:t>Supply chain security, where delay in the provision of goods and/or services would impact the government or Ontarians adversely</w:t>
            </w:r>
          </w:p>
        </w:tc>
      </w:tr>
      <w:tr w:rsidR="001C397B" w:rsidRPr="000202DB" w14:paraId="6480BB9D" w14:textId="77777777" w:rsidTr="000D438C">
        <w:trPr>
          <w:trHeight w:val="558"/>
        </w:trPr>
        <w:tc>
          <w:tcPr>
            <w:tcW w:w="1210" w:type="pct"/>
            <w:hideMark/>
          </w:tcPr>
          <w:p w14:paraId="779BAEAC" w14:textId="77777777" w:rsidR="00684A90" w:rsidRPr="000202DB" w:rsidRDefault="00684A90" w:rsidP="00264B5C">
            <w:pPr>
              <w:spacing w:before="0"/>
              <w:contextualSpacing/>
              <w:rPr>
                <w:szCs w:val="24"/>
              </w:rPr>
            </w:pPr>
            <w:r w:rsidRPr="000202DB">
              <w:rPr>
                <w:szCs w:val="24"/>
              </w:rPr>
              <w:t>Business Responsiveness</w:t>
            </w:r>
          </w:p>
        </w:tc>
        <w:tc>
          <w:tcPr>
            <w:tcW w:w="3790" w:type="pct"/>
            <w:hideMark/>
          </w:tcPr>
          <w:p w14:paraId="2A88FDE3" w14:textId="77777777" w:rsidR="00684A90" w:rsidRPr="000202DB" w:rsidRDefault="00684A90" w:rsidP="00264B5C">
            <w:pPr>
              <w:spacing w:before="0"/>
              <w:contextualSpacing/>
              <w:rPr>
                <w:szCs w:val="24"/>
              </w:rPr>
            </w:pPr>
            <w:r w:rsidRPr="000202DB">
              <w:rPr>
                <w:szCs w:val="24"/>
              </w:rPr>
              <w:t>Proposed response time, turn-around and/or in-person resolution at the site</w:t>
            </w:r>
          </w:p>
        </w:tc>
      </w:tr>
      <w:tr w:rsidR="001C397B" w:rsidRPr="000202DB" w14:paraId="463F5B99" w14:textId="77777777" w:rsidTr="000D438C">
        <w:trPr>
          <w:cnfStyle w:val="000000100000" w:firstRow="0" w:lastRow="0" w:firstColumn="0" w:lastColumn="0" w:oddVBand="0" w:evenVBand="0" w:oddHBand="1" w:evenHBand="0" w:firstRowFirstColumn="0" w:firstRowLastColumn="0" w:lastRowFirstColumn="0" w:lastRowLastColumn="0"/>
          <w:trHeight w:val="718"/>
        </w:trPr>
        <w:tc>
          <w:tcPr>
            <w:tcW w:w="1210" w:type="pct"/>
            <w:hideMark/>
          </w:tcPr>
          <w:p w14:paraId="3D7438CD" w14:textId="22F6E06D" w:rsidR="00684A90" w:rsidRPr="00927FD8" w:rsidRDefault="00684A90" w:rsidP="00264B5C">
            <w:pPr>
              <w:spacing w:before="0"/>
              <w:contextualSpacing/>
              <w:rPr>
                <w:szCs w:val="24"/>
              </w:rPr>
            </w:pPr>
            <w:r w:rsidRPr="00927FD8">
              <w:rPr>
                <w:szCs w:val="24"/>
              </w:rPr>
              <w:t xml:space="preserve">Landed </w:t>
            </w:r>
            <w:r w:rsidR="00ED6A27" w:rsidRPr="00927FD8">
              <w:rPr>
                <w:szCs w:val="24"/>
              </w:rPr>
              <w:t xml:space="preserve">Cost and </w:t>
            </w:r>
            <w:r w:rsidRPr="00927FD8">
              <w:rPr>
                <w:szCs w:val="24"/>
              </w:rPr>
              <w:t>Emissions</w:t>
            </w:r>
          </w:p>
        </w:tc>
        <w:tc>
          <w:tcPr>
            <w:tcW w:w="3790" w:type="pct"/>
            <w:hideMark/>
          </w:tcPr>
          <w:p w14:paraId="2EB3E405" w14:textId="47425861" w:rsidR="00684A90" w:rsidRPr="000202DB" w:rsidRDefault="00684A90" w:rsidP="00264B5C">
            <w:pPr>
              <w:spacing w:before="0"/>
              <w:contextualSpacing/>
              <w:rPr>
                <w:szCs w:val="24"/>
              </w:rPr>
            </w:pPr>
            <w:r w:rsidRPr="000202DB">
              <w:rPr>
                <w:szCs w:val="24"/>
              </w:rPr>
              <w:t>Environmental impact associated with the transportation/provision of goods or services, e.g., CO</w:t>
            </w:r>
            <w:r w:rsidRPr="000202DB">
              <w:rPr>
                <w:szCs w:val="24"/>
                <w:vertAlign w:val="subscript"/>
              </w:rPr>
              <w:t xml:space="preserve">2 </w:t>
            </w:r>
            <w:r w:rsidR="00A1138F" w:rsidRPr="000202DB">
              <w:rPr>
                <w:szCs w:val="24"/>
              </w:rPr>
              <w:t>e</w:t>
            </w:r>
            <w:r w:rsidRPr="000202DB">
              <w:rPr>
                <w:szCs w:val="24"/>
              </w:rPr>
              <w:t>missions</w:t>
            </w:r>
            <w:r w:rsidRPr="000202DB">
              <w:rPr>
                <w:szCs w:val="24"/>
                <w:vertAlign w:val="subscript"/>
              </w:rPr>
              <w:t xml:space="preserve"> </w:t>
            </w:r>
          </w:p>
        </w:tc>
      </w:tr>
      <w:tr w:rsidR="001C397B" w:rsidRPr="000202DB" w14:paraId="69B61F03" w14:textId="77777777" w:rsidTr="000D438C">
        <w:trPr>
          <w:trHeight w:val="729"/>
        </w:trPr>
        <w:tc>
          <w:tcPr>
            <w:tcW w:w="1210" w:type="pct"/>
            <w:hideMark/>
          </w:tcPr>
          <w:p w14:paraId="07A9D6E0" w14:textId="77777777" w:rsidR="00684A90" w:rsidRPr="000202DB" w:rsidRDefault="00684A90" w:rsidP="00264B5C">
            <w:pPr>
              <w:spacing w:before="0"/>
              <w:contextualSpacing/>
              <w:rPr>
                <w:szCs w:val="24"/>
              </w:rPr>
            </w:pPr>
            <w:r w:rsidRPr="000202DB">
              <w:rPr>
                <w:szCs w:val="24"/>
              </w:rPr>
              <w:t>Environmental and Sustainability</w:t>
            </w:r>
          </w:p>
        </w:tc>
        <w:tc>
          <w:tcPr>
            <w:tcW w:w="3790" w:type="pct"/>
            <w:hideMark/>
          </w:tcPr>
          <w:p w14:paraId="19A4FE22" w14:textId="04B4DF2E" w:rsidR="00684A90" w:rsidRPr="000202DB" w:rsidRDefault="00684A90" w:rsidP="00264B5C">
            <w:pPr>
              <w:spacing w:before="0"/>
              <w:contextualSpacing/>
              <w:rPr>
                <w:szCs w:val="24"/>
              </w:rPr>
            </w:pPr>
            <w:r w:rsidRPr="000202DB">
              <w:rPr>
                <w:szCs w:val="24"/>
              </w:rPr>
              <w:t xml:space="preserve">Ability to demonstrate that they meet or exceed Ontario </w:t>
            </w:r>
            <w:r w:rsidR="00A1138F" w:rsidRPr="000202DB">
              <w:rPr>
                <w:szCs w:val="24"/>
              </w:rPr>
              <w:t>e</w:t>
            </w:r>
            <w:r w:rsidRPr="000202DB">
              <w:rPr>
                <w:szCs w:val="24"/>
              </w:rPr>
              <w:t xml:space="preserve">nvironmental </w:t>
            </w:r>
            <w:r w:rsidR="00A1138F" w:rsidRPr="000202DB">
              <w:rPr>
                <w:szCs w:val="24"/>
              </w:rPr>
              <w:t>l</w:t>
            </w:r>
            <w:r w:rsidRPr="000202DB">
              <w:rPr>
                <w:szCs w:val="24"/>
              </w:rPr>
              <w:t>aws where good</w:t>
            </w:r>
            <w:r w:rsidR="00A1138F" w:rsidRPr="000202DB">
              <w:rPr>
                <w:szCs w:val="24"/>
              </w:rPr>
              <w:t>s</w:t>
            </w:r>
            <w:r w:rsidRPr="000202DB">
              <w:rPr>
                <w:szCs w:val="24"/>
              </w:rPr>
              <w:t xml:space="preserve"> or service</w:t>
            </w:r>
            <w:r w:rsidR="00A1138F" w:rsidRPr="000202DB">
              <w:rPr>
                <w:szCs w:val="24"/>
              </w:rPr>
              <w:t>s</w:t>
            </w:r>
            <w:r w:rsidRPr="000202DB">
              <w:rPr>
                <w:szCs w:val="24"/>
              </w:rPr>
              <w:t xml:space="preserve"> </w:t>
            </w:r>
            <w:r w:rsidR="00A1138F" w:rsidRPr="000202DB">
              <w:rPr>
                <w:szCs w:val="24"/>
              </w:rPr>
              <w:t>are</w:t>
            </w:r>
            <w:r w:rsidRPr="000202DB">
              <w:rPr>
                <w:szCs w:val="24"/>
              </w:rPr>
              <w:t xml:space="preserve"> produced</w:t>
            </w:r>
          </w:p>
        </w:tc>
      </w:tr>
      <w:tr w:rsidR="000B159B" w:rsidRPr="000202DB" w14:paraId="4BFB7D6C" w14:textId="77777777" w:rsidTr="000D438C">
        <w:trPr>
          <w:cnfStyle w:val="000000100000" w:firstRow="0" w:lastRow="0" w:firstColumn="0" w:lastColumn="0" w:oddVBand="0" w:evenVBand="0" w:oddHBand="1" w:evenHBand="0" w:firstRowFirstColumn="0" w:firstRowLastColumn="0" w:lastRowFirstColumn="0" w:lastRowLastColumn="0"/>
          <w:trHeight w:val="718"/>
        </w:trPr>
        <w:tc>
          <w:tcPr>
            <w:tcW w:w="1210" w:type="pct"/>
          </w:tcPr>
          <w:p w14:paraId="4CB4E5D7" w14:textId="4B54EB86" w:rsidR="000B159B" w:rsidRPr="000202DB" w:rsidRDefault="000B159B" w:rsidP="000B159B">
            <w:pPr>
              <w:spacing w:before="0"/>
              <w:contextualSpacing/>
              <w:rPr>
                <w:szCs w:val="24"/>
              </w:rPr>
            </w:pPr>
            <w:r w:rsidRPr="000202DB">
              <w:rPr>
                <w:szCs w:val="24"/>
                <w:lang w:val="en-US"/>
              </w:rPr>
              <w:lastRenderedPageBreak/>
              <w:t>Intellectual Property</w:t>
            </w:r>
          </w:p>
        </w:tc>
        <w:tc>
          <w:tcPr>
            <w:tcW w:w="3790" w:type="pct"/>
          </w:tcPr>
          <w:p w14:paraId="52E23AED" w14:textId="13DC5A09" w:rsidR="000B159B" w:rsidRPr="000202DB" w:rsidRDefault="000B159B" w:rsidP="000B159B">
            <w:pPr>
              <w:spacing w:before="0"/>
              <w:contextualSpacing/>
              <w:rPr>
                <w:szCs w:val="24"/>
              </w:rPr>
            </w:pPr>
            <w:r w:rsidRPr="000202DB">
              <w:rPr>
                <w:szCs w:val="24"/>
                <w:lang w:val="en-US"/>
              </w:rPr>
              <w:t>Creation of intellectual property in Ontario, use/</w:t>
            </w:r>
            <w:r w:rsidRPr="000202DB">
              <w:rPr>
                <w:szCs w:val="24"/>
              </w:rPr>
              <w:t>commercialization</w:t>
            </w:r>
            <w:r w:rsidRPr="000202DB">
              <w:rPr>
                <w:szCs w:val="24"/>
                <w:lang w:val="en-US"/>
              </w:rPr>
              <w:t xml:space="preserve"> of Ontario intellectual property</w:t>
            </w:r>
            <w:r w:rsidRPr="000202DB">
              <w:rPr>
                <w:szCs w:val="24"/>
              </w:rPr>
              <w:t>, or innovation and technology adoption</w:t>
            </w:r>
          </w:p>
        </w:tc>
      </w:tr>
      <w:tr w:rsidR="001C397B" w:rsidRPr="000202DB" w14:paraId="0ADC586E" w14:textId="77777777" w:rsidTr="000D438C">
        <w:trPr>
          <w:trHeight w:val="718"/>
        </w:trPr>
        <w:tc>
          <w:tcPr>
            <w:tcW w:w="1210" w:type="pct"/>
            <w:hideMark/>
          </w:tcPr>
          <w:p w14:paraId="0AD0ACEE" w14:textId="77777777" w:rsidR="00684A90" w:rsidRPr="000202DB" w:rsidRDefault="00684A90" w:rsidP="00264B5C">
            <w:pPr>
              <w:spacing w:before="0"/>
              <w:contextualSpacing/>
              <w:rPr>
                <w:szCs w:val="24"/>
              </w:rPr>
            </w:pPr>
            <w:r w:rsidRPr="000202DB">
              <w:rPr>
                <w:szCs w:val="24"/>
              </w:rPr>
              <w:t>Labour</w:t>
            </w:r>
          </w:p>
        </w:tc>
        <w:tc>
          <w:tcPr>
            <w:tcW w:w="3790" w:type="pct"/>
            <w:hideMark/>
          </w:tcPr>
          <w:p w14:paraId="0286DD16" w14:textId="7EF72A7C" w:rsidR="00684A90" w:rsidRPr="000202DB" w:rsidRDefault="00684A90" w:rsidP="00264B5C">
            <w:pPr>
              <w:spacing w:before="0"/>
              <w:contextualSpacing/>
              <w:rPr>
                <w:szCs w:val="24"/>
              </w:rPr>
            </w:pPr>
            <w:r w:rsidRPr="000202DB">
              <w:rPr>
                <w:szCs w:val="24"/>
              </w:rPr>
              <w:t xml:space="preserve">Ability to demonstrate that they meet or exceed Ontario </w:t>
            </w:r>
            <w:r w:rsidR="00A1138F" w:rsidRPr="000202DB">
              <w:rPr>
                <w:szCs w:val="24"/>
              </w:rPr>
              <w:t>l</w:t>
            </w:r>
            <w:r w:rsidRPr="000202DB">
              <w:rPr>
                <w:szCs w:val="24"/>
              </w:rPr>
              <w:t xml:space="preserve">abour </w:t>
            </w:r>
            <w:r w:rsidR="00A1138F" w:rsidRPr="000202DB">
              <w:rPr>
                <w:szCs w:val="24"/>
              </w:rPr>
              <w:t>l</w:t>
            </w:r>
            <w:r w:rsidRPr="000202DB">
              <w:rPr>
                <w:szCs w:val="24"/>
              </w:rPr>
              <w:t>aws where good</w:t>
            </w:r>
            <w:r w:rsidR="00A1138F" w:rsidRPr="000202DB">
              <w:rPr>
                <w:szCs w:val="24"/>
              </w:rPr>
              <w:t>s</w:t>
            </w:r>
            <w:r w:rsidRPr="000202DB">
              <w:rPr>
                <w:szCs w:val="24"/>
              </w:rPr>
              <w:t xml:space="preserve"> or service</w:t>
            </w:r>
            <w:r w:rsidR="00A1138F" w:rsidRPr="000202DB">
              <w:rPr>
                <w:szCs w:val="24"/>
              </w:rPr>
              <w:t>s</w:t>
            </w:r>
            <w:r w:rsidRPr="000202DB">
              <w:rPr>
                <w:szCs w:val="24"/>
              </w:rPr>
              <w:t xml:space="preserve"> </w:t>
            </w:r>
            <w:r w:rsidR="00A1138F" w:rsidRPr="000202DB">
              <w:rPr>
                <w:szCs w:val="24"/>
              </w:rPr>
              <w:t>are</w:t>
            </w:r>
            <w:r w:rsidRPr="000202DB">
              <w:rPr>
                <w:szCs w:val="24"/>
              </w:rPr>
              <w:t xml:space="preserve"> produced</w:t>
            </w:r>
          </w:p>
        </w:tc>
      </w:tr>
      <w:tr w:rsidR="001C397B" w:rsidRPr="000202DB" w14:paraId="41F13D6B" w14:textId="77777777" w:rsidTr="000D438C">
        <w:trPr>
          <w:cnfStyle w:val="000000100000" w:firstRow="0" w:lastRow="0" w:firstColumn="0" w:lastColumn="0" w:oddVBand="0" w:evenVBand="0" w:oddHBand="1" w:evenHBand="0" w:firstRowFirstColumn="0" w:firstRowLastColumn="0" w:lastRowFirstColumn="0" w:lastRowLastColumn="0"/>
          <w:trHeight w:val="1093"/>
        </w:trPr>
        <w:tc>
          <w:tcPr>
            <w:tcW w:w="1210" w:type="pct"/>
            <w:hideMark/>
          </w:tcPr>
          <w:p w14:paraId="423939B9" w14:textId="29874179" w:rsidR="00684A90" w:rsidRPr="000202DB" w:rsidRDefault="00684A90" w:rsidP="00264B5C">
            <w:pPr>
              <w:spacing w:before="0"/>
              <w:contextualSpacing/>
              <w:rPr>
                <w:szCs w:val="24"/>
              </w:rPr>
            </w:pPr>
            <w:r w:rsidRPr="000202DB">
              <w:rPr>
                <w:szCs w:val="24"/>
              </w:rPr>
              <w:t>Local Benefit</w:t>
            </w:r>
            <w:r w:rsidR="00F018B3" w:rsidRPr="00281505">
              <w:rPr>
                <w:sz w:val="28"/>
                <w:szCs w:val="28"/>
              </w:rPr>
              <w:t>*</w:t>
            </w:r>
          </w:p>
        </w:tc>
        <w:tc>
          <w:tcPr>
            <w:tcW w:w="3790" w:type="pct"/>
            <w:hideMark/>
          </w:tcPr>
          <w:p w14:paraId="28683CCD" w14:textId="77777777" w:rsidR="00684A90" w:rsidRPr="000202DB" w:rsidRDefault="69FE1A0E" w:rsidP="00264B5C">
            <w:pPr>
              <w:spacing w:before="0"/>
              <w:contextualSpacing/>
              <w:rPr>
                <w:szCs w:val="24"/>
              </w:rPr>
            </w:pPr>
            <w:r w:rsidRPr="000202DB">
              <w:rPr>
                <w:szCs w:val="24"/>
                <w:lang w:val="en-US"/>
              </w:rPr>
              <w:t xml:space="preserve">Capital </w:t>
            </w:r>
            <w:r w:rsidRPr="000202DB">
              <w:rPr>
                <w:szCs w:val="24"/>
              </w:rPr>
              <w:t xml:space="preserve">investment; use of local supply chain (including </w:t>
            </w:r>
            <w:bookmarkStart w:id="29" w:name="_Int_uvmDiFTr"/>
            <w:r w:rsidRPr="000202DB">
              <w:rPr>
                <w:szCs w:val="24"/>
              </w:rPr>
              <w:t>SME</w:t>
            </w:r>
            <w:bookmarkEnd w:id="29"/>
            <w:r w:rsidRPr="000202DB">
              <w:rPr>
                <w:szCs w:val="24"/>
              </w:rPr>
              <w:t xml:space="preserve"> suppliers); skills development and training programs; innovation through research &amp; development; Ontario-based export potential; potential to benefit small town, rural, businesses </w:t>
            </w:r>
          </w:p>
        </w:tc>
      </w:tr>
      <w:tr w:rsidR="00971DA8" w:rsidRPr="000202DB" w14:paraId="342DEA47" w14:textId="77777777" w:rsidTr="000D438C">
        <w:trPr>
          <w:trHeight w:val="745"/>
        </w:trPr>
        <w:tc>
          <w:tcPr>
            <w:tcW w:w="1210" w:type="pct"/>
          </w:tcPr>
          <w:p w14:paraId="1F5CA1A7" w14:textId="44E77A13" w:rsidR="00971DA8" w:rsidRPr="000202DB" w:rsidRDefault="00971DA8" w:rsidP="00971DA8">
            <w:pPr>
              <w:spacing w:before="0"/>
              <w:contextualSpacing/>
              <w:rPr>
                <w:szCs w:val="24"/>
                <w:lang w:val="en-US"/>
              </w:rPr>
            </w:pPr>
            <w:r w:rsidRPr="000202DB">
              <w:rPr>
                <w:szCs w:val="24"/>
              </w:rPr>
              <w:t>Local Knowledge</w:t>
            </w:r>
            <w:r w:rsidR="00F018B3" w:rsidRPr="00281505">
              <w:rPr>
                <w:sz w:val="28"/>
                <w:szCs w:val="28"/>
              </w:rPr>
              <w:t>*</w:t>
            </w:r>
          </w:p>
        </w:tc>
        <w:tc>
          <w:tcPr>
            <w:tcW w:w="3790" w:type="pct"/>
          </w:tcPr>
          <w:p w14:paraId="3FB23F29" w14:textId="196584C4" w:rsidR="00971DA8" w:rsidRPr="000202DB" w:rsidRDefault="00971DA8" w:rsidP="00971DA8">
            <w:pPr>
              <w:spacing w:before="0"/>
              <w:contextualSpacing/>
              <w:rPr>
                <w:szCs w:val="24"/>
                <w:lang w:val="en-US"/>
              </w:rPr>
            </w:pPr>
            <w:r w:rsidRPr="000202DB">
              <w:rPr>
                <w:szCs w:val="24"/>
              </w:rPr>
              <w:t xml:space="preserve">Knowledge and experience in Ontario with impacted stakeholders; development of Ontario based knowledge and expertise </w:t>
            </w:r>
          </w:p>
        </w:tc>
      </w:tr>
      <w:tr w:rsidR="00971DA8" w:rsidRPr="000202DB" w14:paraId="64EBF644" w14:textId="77777777" w:rsidTr="000D438C">
        <w:trPr>
          <w:cnfStyle w:val="000000100000" w:firstRow="0" w:lastRow="0" w:firstColumn="0" w:lastColumn="0" w:oddVBand="0" w:evenVBand="0" w:oddHBand="1" w:evenHBand="0" w:firstRowFirstColumn="0" w:firstRowLastColumn="0" w:lastRowFirstColumn="0" w:lastRowLastColumn="0"/>
          <w:trHeight w:val="745"/>
        </w:trPr>
        <w:tc>
          <w:tcPr>
            <w:tcW w:w="1210" w:type="pct"/>
          </w:tcPr>
          <w:p w14:paraId="76DFDF88" w14:textId="7F4310CD" w:rsidR="00971DA8" w:rsidRPr="000202DB" w:rsidRDefault="00971DA8" w:rsidP="00971DA8">
            <w:pPr>
              <w:spacing w:before="0"/>
              <w:contextualSpacing/>
              <w:rPr>
                <w:szCs w:val="24"/>
                <w:lang w:val="en-US"/>
              </w:rPr>
            </w:pPr>
            <w:r w:rsidRPr="000202DB">
              <w:rPr>
                <w:szCs w:val="24"/>
              </w:rPr>
              <w:t>Local Materials/ Content</w:t>
            </w:r>
            <w:r w:rsidR="00F018B3" w:rsidRPr="00281505">
              <w:rPr>
                <w:sz w:val="28"/>
                <w:szCs w:val="28"/>
              </w:rPr>
              <w:t>*</w:t>
            </w:r>
          </w:p>
        </w:tc>
        <w:tc>
          <w:tcPr>
            <w:tcW w:w="3790" w:type="pct"/>
          </w:tcPr>
          <w:p w14:paraId="058F48E4" w14:textId="1AB68B2F" w:rsidR="00971DA8" w:rsidRPr="000202DB" w:rsidRDefault="00971DA8" w:rsidP="00971DA8">
            <w:pPr>
              <w:spacing w:before="0"/>
              <w:contextualSpacing/>
              <w:rPr>
                <w:szCs w:val="24"/>
                <w:lang w:val="en-US"/>
              </w:rPr>
            </w:pPr>
            <w:r w:rsidRPr="000202DB">
              <w:rPr>
                <w:szCs w:val="24"/>
              </w:rPr>
              <w:t>Use of local materials for goods/content; potential job creation; small business development; community revitalization</w:t>
            </w:r>
          </w:p>
        </w:tc>
      </w:tr>
    </w:tbl>
    <w:p w14:paraId="55FE2486" w14:textId="37D821A4" w:rsidR="00F018B3" w:rsidRDefault="00F018B3" w:rsidP="00264B5C">
      <w:pPr>
        <w:spacing w:after="240"/>
        <w:rPr>
          <w:szCs w:val="24"/>
        </w:rPr>
      </w:pPr>
      <w:r w:rsidRPr="00281505">
        <w:rPr>
          <w:sz w:val="28"/>
          <w:szCs w:val="28"/>
        </w:rPr>
        <w:t>*</w:t>
      </w:r>
      <w:r w:rsidRPr="00F018B3">
        <w:rPr>
          <w:szCs w:val="24"/>
        </w:rPr>
        <w:t xml:space="preserve"> </w:t>
      </w:r>
      <w:r>
        <w:rPr>
          <w:szCs w:val="24"/>
        </w:rPr>
        <w:t xml:space="preserve">When applying the following weighted domestic should have a maximum weight should of no more than </w:t>
      </w:r>
      <w:r w:rsidR="00281505">
        <w:rPr>
          <w:szCs w:val="24"/>
        </w:rPr>
        <w:t xml:space="preserve">5 percent. </w:t>
      </w:r>
    </w:p>
    <w:p w14:paraId="696F15AC" w14:textId="4AE889E0" w:rsidR="00684A90" w:rsidRPr="000202DB" w:rsidRDefault="2591A1AE" w:rsidP="00264B5C">
      <w:pPr>
        <w:spacing w:after="240"/>
        <w:rPr>
          <w:szCs w:val="24"/>
        </w:rPr>
      </w:pPr>
      <w:r w:rsidRPr="000202DB">
        <w:rPr>
          <w:szCs w:val="24"/>
        </w:rPr>
        <w:t xml:space="preserve">See </w:t>
      </w:r>
      <w:hyperlink w:anchor="_Appendix_A:_Weighted" w:history="1">
        <w:r w:rsidRPr="00953F4F">
          <w:rPr>
            <w:rStyle w:val="Hyperlink"/>
            <w:szCs w:val="24"/>
          </w:rPr>
          <w:t>Appendix A</w:t>
        </w:r>
      </w:hyperlink>
      <w:r w:rsidRPr="000202DB">
        <w:rPr>
          <w:szCs w:val="24"/>
        </w:rPr>
        <w:t xml:space="preserve"> and </w:t>
      </w:r>
      <w:hyperlink w:anchor="_Appendix_B:_Example" w:history="1">
        <w:r w:rsidRPr="00953F4F">
          <w:rPr>
            <w:rStyle w:val="Hyperlink"/>
            <w:szCs w:val="24"/>
          </w:rPr>
          <w:t>Appendix B</w:t>
        </w:r>
      </w:hyperlink>
      <w:r w:rsidRPr="000202DB">
        <w:rPr>
          <w:szCs w:val="24"/>
        </w:rPr>
        <w:t xml:space="preserve"> for further details </w:t>
      </w:r>
      <w:r w:rsidR="42D6DE29" w:rsidRPr="000202DB">
        <w:rPr>
          <w:szCs w:val="24"/>
        </w:rPr>
        <w:t xml:space="preserve">on </w:t>
      </w:r>
      <w:r w:rsidRPr="000202DB">
        <w:rPr>
          <w:szCs w:val="24"/>
        </w:rPr>
        <w:t>the weighted domestic criteria and for examples on how and when weighted domestic criteri</w:t>
      </w:r>
      <w:r w:rsidR="00B10E59">
        <w:rPr>
          <w:szCs w:val="24"/>
        </w:rPr>
        <w:t xml:space="preserve">a can be </w:t>
      </w:r>
      <w:r w:rsidR="00292E3E">
        <w:rPr>
          <w:szCs w:val="24"/>
        </w:rPr>
        <w:t>used</w:t>
      </w:r>
      <w:r w:rsidR="00572979">
        <w:rPr>
          <w:szCs w:val="24"/>
        </w:rPr>
        <w:t>.</w:t>
      </w:r>
      <w:r w:rsidR="55A1C718" w:rsidRPr="000202DB">
        <w:rPr>
          <w:szCs w:val="24"/>
        </w:rPr>
        <w:t xml:space="preserve"> </w:t>
      </w:r>
    </w:p>
    <w:p w14:paraId="3205B381" w14:textId="5EA06C65" w:rsidR="0006266A" w:rsidRPr="000202DB" w:rsidRDefault="006971C7" w:rsidP="00BC679E">
      <w:pPr>
        <w:spacing w:after="240" w:line="240" w:lineRule="auto"/>
        <w:rPr>
          <w:rFonts w:eastAsiaTheme="majorEastAsia" w:cstheme="majorBidi"/>
          <w:b/>
          <w:bCs/>
          <w:color w:val="006E81" w:themeColor="text2"/>
          <w:szCs w:val="24"/>
          <w:lang w:eastAsia="en-CA"/>
        </w:rPr>
      </w:pPr>
      <w:r w:rsidRPr="000202DB">
        <w:rPr>
          <w:rFonts w:eastAsiaTheme="majorEastAsia" w:cstheme="majorBidi"/>
          <w:b/>
          <w:bCs/>
          <w:color w:val="006E81" w:themeColor="text2"/>
          <w:szCs w:val="24"/>
          <w:lang w:eastAsia="en-CA"/>
        </w:rPr>
        <w:t>Application to</w:t>
      </w:r>
      <w:r w:rsidR="00304608" w:rsidRPr="000202DB">
        <w:rPr>
          <w:rFonts w:eastAsiaTheme="majorEastAsia" w:cstheme="majorBidi"/>
          <w:b/>
          <w:bCs/>
          <w:color w:val="006E81" w:themeColor="text2"/>
          <w:szCs w:val="24"/>
          <w:lang w:eastAsia="en-CA"/>
        </w:rPr>
        <w:t xml:space="preserve"> the procurement process</w:t>
      </w:r>
    </w:p>
    <w:p w14:paraId="79CF771D" w14:textId="0CCFA7A8" w:rsidR="006E0400" w:rsidRPr="006E0400" w:rsidRDefault="00040F40" w:rsidP="006E0400">
      <w:pPr>
        <w:pStyle w:val="ListParagraph"/>
        <w:numPr>
          <w:ilvl w:val="0"/>
          <w:numId w:val="58"/>
        </w:numPr>
        <w:spacing w:after="240" w:line="240" w:lineRule="auto"/>
        <w:ind w:left="360"/>
        <w:contextualSpacing w:val="0"/>
        <w:rPr>
          <w:b/>
          <w:bCs/>
          <w:szCs w:val="24"/>
        </w:rPr>
      </w:pPr>
      <w:r w:rsidRPr="000202DB">
        <w:rPr>
          <w:b/>
          <w:bCs/>
          <w:szCs w:val="24"/>
        </w:rPr>
        <w:t>Procurement Planning</w:t>
      </w:r>
    </w:p>
    <w:p w14:paraId="41C525A1" w14:textId="694E9BE5" w:rsidR="00970683" w:rsidRPr="00126727" w:rsidRDefault="34E1FE80" w:rsidP="00D255AC">
      <w:pPr>
        <w:pStyle w:val="ListParagraph"/>
        <w:numPr>
          <w:ilvl w:val="0"/>
          <w:numId w:val="34"/>
        </w:numPr>
        <w:spacing w:before="120" w:after="240"/>
        <w:ind w:left="360"/>
        <w:contextualSpacing w:val="0"/>
        <w:rPr>
          <w:rFonts w:eastAsia="Times New Roman" w:cs="Times New Roman"/>
          <w:szCs w:val="24"/>
          <w:lang w:eastAsia="en-CA"/>
        </w:rPr>
      </w:pPr>
      <w:r w:rsidRPr="00B70C0D">
        <w:rPr>
          <w:rFonts w:eastAsia="Times New Roman" w:cs="Times New Roman"/>
          <w:szCs w:val="24"/>
          <w:lang w:eastAsia="en-CA"/>
        </w:rPr>
        <w:t>Condu</w:t>
      </w:r>
      <w:r w:rsidRPr="00126727">
        <w:rPr>
          <w:rFonts w:eastAsia="Times New Roman" w:cs="Times New Roman"/>
          <w:szCs w:val="24"/>
          <w:lang w:eastAsia="en-CA"/>
        </w:rPr>
        <w:t xml:space="preserve">ct </w:t>
      </w:r>
      <w:r w:rsidR="001B3888" w:rsidRPr="00126727">
        <w:rPr>
          <w:rFonts w:eastAsia="Times New Roman" w:cs="Times New Roman"/>
          <w:szCs w:val="24"/>
          <w:lang w:eastAsia="en-CA"/>
        </w:rPr>
        <w:t xml:space="preserve">market </w:t>
      </w:r>
      <w:r w:rsidRPr="00126727">
        <w:rPr>
          <w:rFonts w:eastAsia="Times New Roman" w:cs="Times New Roman"/>
          <w:szCs w:val="24"/>
          <w:lang w:eastAsia="en-CA"/>
        </w:rPr>
        <w:t xml:space="preserve">research and identify if there are </w:t>
      </w:r>
      <w:r w:rsidR="6F827B5F" w:rsidRPr="00126727">
        <w:rPr>
          <w:rFonts w:eastAsia="Times New Roman" w:cs="Times New Roman"/>
          <w:szCs w:val="24"/>
          <w:lang w:eastAsia="en-CA"/>
        </w:rPr>
        <w:t>Ontario</w:t>
      </w:r>
      <w:r w:rsidRPr="00126727">
        <w:rPr>
          <w:rFonts w:eastAsia="Times New Roman" w:cs="Times New Roman"/>
          <w:szCs w:val="24"/>
          <w:lang w:eastAsia="en-CA"/>
        </w:rPr>
        <w:t xml:space="preserve"> businesse</w:t>
      </w:r>
      <w:r w:rsidR="68DB5CFE" w:rsidRPr="00126727">
        <w:rPr>
          <w:rFonts w:eastAsia="Times New Roman" w:cs="Times New Roman"/>
          <w:szCs w:val="24"/>
          <w:lang w:eastAsia="en-CA"/>
        </w:rPr>
        <w:t>s (</w:t>
      </w:r>
      <w:r w:rsidR="42D6DE29" w:rsidRPr="00126727">
        <w:rPr>
          <w:rFonts w:eastAsia="Times New Roman" w:cs="Times New Roman"/>
          <w:szCs w:val="24"/>
          <w:lang w:eastAsia="en-CA"/>
        </w:rPr>
        <w:t xml:space="preserve">as </w:t>
      </w:r>
      <w:r w:rsidR="006656F0" w:rsidRPr="00126727">
        <w:rPr>
          <w:rFonts w:eastAsia="Times New Roman" w:cs="Times New Roman"/>
          <w:szCs w:val="24"/>
          <w:lang w:eastAsia="en-CA"/>
        </w:rPr>
        <w:t xml:space="preserve">defined in </w:t>
      </w:r>
      <w:hyperlink w:anchor="Definition" w:history="1">
        <w:r w:rsidR="006656F0" w:rsidRPr="00126727">
          <w:rPr>
            <w:rFonts w:eastAsia="Times New Roman" w:cs="Times New Roman"/>
            <w:lang w:eastAsia="en-CA"/>
          </w:rPr>
          <w:t>Section 3</w:t>
        </w:r>
      </w:hyperlink>
      <w:r w:rsidR="68DB5CFE" w:rsidRPr="00126727">
        <w:rPr>
          <w:rFonts w:eastAsia="Times New Roman" w:cs="Times New Roman"/>
          <w:szCs w:val="24"/>
          <w:lang w:eastAsia="en-CA"/>
        </w:rPr>
        <w:t>)</w:t>
      </w:r>
      <w:r w:rsidRPr="00126727">
        <w:rPr>
          <w:rFonts w:eastAsia="Times New Roman" w:cs="Times New Roman"/>
          <w:szCs w:val="24"/>
          <w:lang w:eastAsia="en-CA"/>
        </w:rPr>
        <w:t xml:space="preserve"> that are qualified to provide the goods or service</w:t>
      </w:r>
      <w:r w:rsidR="42D6DE29" w:rsidRPr="00126727">
        <w:rPr>
          <w:rFonts w:eastAsia="Times New Roman" w:cs="Times New Roman"/>
          <w:szCs w:val="24"/>
          <w:lang w:eastAsia="en-CA"/>
        </w:rPr>
        <w:t>s</w:t>
      </w:r>
      <w:r w:rsidRPr="00126727">
        <w:rPr>
          <w:rFonts w:eastAsia="Times New Roman" w:cs="Times New Roman"/>
          <w:szCs w:val="24"/>
          <w:lang w:eastAsia="en-CA"/>
        </w:rPr>
        <w:t xml:space="preserve"> being sought</w:t>
      </w:r>
      <w:r w:rsidR="7B2441D6" w:rsidRPr="00126727">
        <w:rPr>
          <w:rFonts w:eastAsia="Times New Roman" w:cs="Times New Roman"/>
          <w:szCs w:val="24"/>
          <w:lang w:eastAsia="en-CA"/>
        </w:rPr>
        <w:t xml:space="preserve">. </w:t>
      </w:r>
    </w:p>
    <w:p w14:paraId="35F52291" w14:textId="132CAEA5" w:rsidR="00040F40" w:rsidRPr="007F5D66" w:rsidRDefault="00BC4830" w:rsidP="00D255AC">
      <w:pPr>
        <w:pStyle w:val="ListParagraph"/>
        <w:numPr>
          <w:ilvl w:val="0"/>
          <w:numId w:val="34"/>
        </w:numPr>
        <w:spacing w:before="120" w:after="240"/>
        <w:ind w:left="360"/>
        <w:contextualSpacing w:val="0"/>
        <w:rPr>
          <w:rFonts w:eastAsia="Times New Roman" w:cs="Times New Roman"/>
          <w:szCs w:val="24"/>
          <w:lang w:eastAsia="en-CA"/>
        </w:rPr>
      </w:pPr>
      <w:r w:rsidRPr="007F5D66">
        <w:rPr>
          <w:rFonts w:eastAsia="Times New Roman" w:cs="Times New Roman"/>
          <w:szCs w:val="24"/>
          <w:lang w:eastAsia="en-CA"/>
        </w:rPr>
        <w:t xml:space="preserve">Research and </w:t>
      </w:r>
      <w:r w:rsidR="007E7114" w:rsidRPr="007F5D66">
        <w:rPr>
          <w:rFonts w:eastAsia="Times New Roman" w:cs="Times New Roman"/>
          <w:szCs w:val="24"/>
          <w:lang w:eastAsia="en-CA"/>
        </w:rPr>
        <w:t xml:space="preserve">develop </w:t>
      </w:r>
      <w:r w:rsidR="009D7426" w:rsidRPr="007F5D66">
        <w:rPr>
          <w:rFonts w:eastAsia="Times New Roman" w:cs="Times New Roman"/>
          <w:szCs w:val="24"/>
          <w:lang w:eastAsia="en-CA"/>
        </w:rPr>
        <w:t xml:space="preserve">weighted </w:t>
      </w:r>
      <w:r w:rsidR="00D97187" w:rsidRPr="007F5D66">
        <w:rPr>
          <w:rFonts w:eastAsia="Times New Roman" w:cs="Times New Roman"/>
          <w:szCs w:val="24"/>
          <w:lang w:eastAsia="en-CA"/>
        </w:rPr>
        <w:t xml:space="preserve">domestic </w:t>
      </w:r>
      <w:r w:rsidR="009D7426" w:rsidRPr="007F5D66">
        <w:rPr>
          <w:rFonts w:eastAsia="Times New Roman" w:cs="Times New Roman"/>
          <w:szCs w:val="24"/>
          <w:lang w:eastAsia="en-CA"/>
        </w:rPr>
        <w:t xml:space="preserve">criteria </w:t>
      </w:r>
      <w:r w:rsidR="007E7114" w:rsidRPr="007F5D66">
        <w:rPr>
          <w:rFonts w:eastAsia="Times New Roman" w:cs="Times New Roman"/>
          <w:szCs w:val="24"/>
          <w:lang w:eastAsia="en-CA"/>
        </w:rPr>
        <w:t>that a</w:t>
      </w:r>
      <w:r w:rsidR="009215DD" w:rsidRPr="007F5D66">
        <w:rPr>
          <w:rFonts w:eastAsia="Times New Roman" w:cs="Times New Roman"/>
          <w:szCs w:val="24"/>
          <w:lang w:eastAsia="en-CA"/>
        </w:rPr>
        <w:t>re</w:t>
      </w:r>
      <w:r w:rsidR="009D7426" w:rsidRPr="007F5D66">
        <w:rPr>
          <w:rFonts w:eastAsia="Times New Roman" w:cs="Times New Roman"/>
          <w:szCs w:val="24"/>
          <w:lang w:eastAsia="en-CA"/>
        </w:rPr>
        <w:t xml:space="preserve"> appropriate </w:t>
      </w:r>
      <w:r w:rsidR="00D27D06" w:rsidRPr="007F5D66">
        <w:rPr>
          <w:rFonts w:eastAsia="Times New Roman" w:cs="Times New Roman"/>
          <w:szCs w:val="24"/>
          <w:lang w:eastAsia="en-CA"/>
        </w:rPr>
        <w:t xml:space="preserve">and relevant </w:t>
      </w:r>
      <w:r w:rsidR="009D7426" w:rsidRPr="007F5D66">
        <w:rPr>
          <w:rFonts w:eastAsia="Times New Roman" w:cs="Times New Roman"/>
          <w:szCs w:val="24"/>
          <w:lang w:eastAsia="en-CA"/>
        </w:rPr>
        <w:t xml:space="preserve">for </w:t>
      </w:r>
      <w:r w:rsidR="007461C8" w:rsidRPr="007F5D66">
        <w:rPr>
          <w:rFonts w:eastAsia="Times New Roman" w:cs="Times New Roman"/>
          <w:szCs w:val="24"/>
          <w:lang w:eastAsia="en-CA"/>
        </w:rPr>
        <w:t xml:space="preserve">the </w:t>
      </w:r>
      <w:r w:rsidR="009D7426" w:rsidRPr="007F5D66">
        <w:rPr>
          <w:rFonts w:eastAsia="Times New Roman" w:cs="Times New Roman"/>
          <w:szCs w:val="24"/>
          <w:lang w:eastAsia="en-CA"/>
        </w:rPr>
        <w:t>procurement.</w:t>
      </w:r>
      <w:r w:rsidR="00BA6F0A" w:rsidRPr="007F5D66">
        <w:rPr>
          <w:rFonts w:eastAsia="Times New Roman" w:cs="Times New Roman"/>
          <w:szCs w:val="24"/>
          <w:lang w:eastAsia="en-CA"/>
        </w:rPr>
        <w:t xml:space="preserve"> </w:t>
      </w:r>
    </w:p>
    <w:p w14:paraId="7D74FD11" w14:textId="03A59846" w:rsidR="00C92FB8" w:rsidRPr="007F5D66" w:rsidRDefault="007E7114" w:rsidP="00D255AC">
      <w:pPr>
        <w:pStyle w:val="ListParagraph"/>
        <w:numPr>
          <w:ilvl w:val="0"/>
          <w:numId w:val="34"/>
        </w:numPr>
        <w:spacing w:before="120" w:after="240"/>
        <w:ind w:left="360"/>
        <w:contextualSpacing w:val="0"/>
        <w:rPr>
          <w:rFonts w:eastAsia="Times New Roman" w:cs="Times New Roman"/>
          <w:szCs w:val="24"/>
          <w:lang w:eastAsia="en-CA"/>
        </w:rPr>
      </w:pPr>
      <w:r w:rsidRPr="007F5D66">
        <w:rPr>
          <w:rFonts w:eastAsia="Times New Roman" w:cs="Times New Roman"/>
          <w:szCs w:val="24"/>
          <w:lang w:eastAsia="en-CA"/>
        </w:rPr>
        <w:t>Determine</w:t>
      </w:r>
      <w:r w:rsidR="00C84193" w:rsidRPr="007F5D66">
        <w:rPr>
          <w:rFonts w:eastAsia="Times New Roman" w:cs="Times New Roman"/>
          <w:szCs w:val="24"/>
          <w:lang w:eastAsia="en-CA"/>
        </w:rPr>
        <w:t xml:space="preserve"> the weighted </w:t>
      </w:r>
      <w:r w:rsidR="0095533A" w:rsidRPr="007F5D66">
        <w:rPr>
          <w:rFonts w:eastAsia="Times New Roman" w:cs="Times New Roman"/>
          <w:szCs w:val="24"/>
          <w:lang w:eastAsia="en-CA"/>
        </w:rPr>
        <w:t xml:space="preserve">domestic </w:t>
      </w:r>
      <w:r w:rsidR="00C84193" w:rsidRPr="007F5D66">
        <w:rPr>
          <w:rFonts w:eastAsia="Times New Roman" w:cs="Times New Roman"/>
          <w:szCs w:val="24"/>
          <w:lang w:eastAsia="en-CA"/>
        </w:rPr>
        <w:t>criteria relevant to the procurement</w:t>
      </w:r>
      <w:r w:rsidR="00C92FB8" w:rsidRPr="007F5D66">
        <w:rPr>
          <w:rFonts w:eastAsia="Times New Roman" w:cs="Times New Roman"/>
          <w:szCs w:val="24"/>
          <w:lang w:eastAsia="en-CA"/>
        </w:rPr>
        <w:t xml:space="preserve"> </w:t>
      </w:r>
      <w:r w:rsidR="00C84193" w:rsidRPr="007F5D66">
        <w:rPr>
          <w:rFonts w:eastAsia="Times New Roman" w:cs="Times New Roman"/>
          <w:szCs w:val="24"/>
          <w:lang w:eastAsia="en-CA"/>
        </w:rPr>
        <w:t>based on</w:t>
      </w:r>
      <w:r w:rsidR="00C92FB8" w:rsidRPr="007F5D66">
        <w:rPr>
          <w:rFonts w:eastAsia="Times New Roman" w:cs="Times New Roman"/>
          <w:szCs w:val="24"/>
          <w:lang w:eastAsia="en-CA"/>
        </w:rPr>
        <w:t>:</w:t>
      </w:r>
    </w:p>
    <w:p w14:paraId="79B48EB7" w14:textId="77777777" w:rsidR="00C92FB8" w:rsidRPr="007F5D66" w:rsidRDefault="00C84193" w:rsidP="00D255AC">
      <w:pPr>
        <w:pStyle w:val="ListParagraph"/>
        <w:numPr>
          <w:ilvl w:val="0"/>
          <w:numId w:val="34"/>
        </w:numPr>
        <w:spacing w:before="120" w:after="240"/>
        <w:ind w:left="360"/>
        <w:contextualSpacing w:val="0"/>
        <w:rPr>
          <w:rFonts w:eastAsia="Times New Roman" w:cs="Times New Roman"/>
          <w:szCs w:val="24"/>
          <w:lang w:eastAsia="en-CA"/>
        </w:rPr>
      </w:pPr>
      <w:r w:rsidRPr="007F5D66">
        <w:rPr>
          <w:rFonts w:eastAsia="Times New Roman" w:cs="Times New Roman"/>
          <w:szCs w:val="24"/>
          <w:lang w:eastAsia="en-CA"/>
        </w:rPr>
        <w:t>market analysis</w:t>
      </w:r>
      <w:r w:rsidR="00E45C26" w:rsidRPr="007F5D66">
        <w:rPr>
          <w:rFonts w:eastAsia="Times New Roman" w:cs="Times New Roman"/>
          <w:szCs w:val="24"/>
          <w:lang w:eastAsia="en-CA"/>
        </w:rPr>
        <w:t xml:space="preserve">, </w:t>
      </w:r>
    </w:p>
    <w:p w14:paraId="75251DD5" w14:textId="1ADE2E10" w:rsidR="00C92FB8" w:rsidRPr="007F5D66" w:rsidRDefault="00681983" w:rsidP="00D255AC">
      <w:pPr>
        <w:pStyle w:val="ListParagraph"/>
        <w:numPr>
          <w:ilvl w:val="0"/>
          <w:numId w:val="34"/>
        </w:numPr>
        <w:spacing w:before="120" w:after="240"/>
        <w:ind w:left="360"/>
        <w:contextualSpacing w:val="0"/>
        <w:rPr>
          <w:rFonts w:eastAsia="Times New Roman" w:cs="Times New Roman"/>
          <w:szCs w:val="24"/>
          <w:lang w:eastAsia="en-CA"/>
        </w:rPr>
      </w:pPr>
      <w:r w:rsidRPr="007F5D66">
        <w:rPr>
          <w:rFonts w:eastAsia="Times New Roman" w:cs="Times New Roman"/>
          <w:szCs w:val="24"/>
          <w:lang w:eastAsia="en-CA"/>
        </w:rPr>
        <w:lastRenderedPageBreak/>
        <w:t xml:space="preserve">identified </w:t>
      </w:r>
      <w:r w:rsidR="00C84193" w:rsidRPr="007F5D66">
        <w:rPr>
          <w:rFonts w:eastAsia="Times New Roman" w:cs="Times New Roman"/>
          <w:szCs w:val="24"/>
          <w:lang w:eastAsia="en-CA"/>
        </w:rPr>
        <w:t>risk</w:t>
      </w:r>
      <w:r w:rsidR="00B90367" w:rsidRPr="007F5D66">
        <w:rPr>
          <w:rFonts w:eastAsia="Times New Roman" w:cs="Times New Roman"/>
          <w:szCs w:val="24"/>
          <w:lang w:eastAsia="en-CA"/>
        </w:rPr>
        <w:t>(s)</w:t>
      </w:r>
    </w:p>
    <w:p w14:paraId="5C41F5D7" w14:textId="5BB8FCFF" w:rsidR="00506147" w:rsidRPr="007F5D66" w:rsidRDefault="56E43B75" w:rsidP="00D255AC">
      <w:pPr>
        <w:pStyle w:val="ListParagraph"/>
        <w:numPr>
          <w:ilvl w:val="0"/>
          <w:numId w:val="34"/>
        </w:numPr>
        <w:spacing w:before="120" w:after="240"/>
        <w:ind w:left="360"/>
        <w:contextualSpacing w:val="0"/>
        <w:rPr>
          <w:rFonts w:eastAsia="Times New Roman" w:cs="Times New Roman"/>
          <w:szCs w:val="24"/>
          <w:lang w:eastAsia="en-CA"/>
        </w:rPr>
      </w:pPr>
      <w:r w:rsidRPr="007F5D66">
        <w:rPr>
          <w:rFonts w:eastAsia="Times New Roman" w:cs="Times New Roman"/>
          <w:szCs w:val="24"/>
          <w:lang w:eastAsia="en-CA"/>
        </w:rPr>
        <w:t>significance of the impact that the domestic criteri</w:t>
      </w:r>
      <w:r w:rsidR="1FF56CDC" w:rsidRPr="007F5D66">
        <w:rPr>
          <w:rFonts w:eastAsia="Times New Roman" w:cs="Times New Roman"/>
          <w:szCs w:val="24"/>
          <w:lang w:eastAsia="en-CA"/>
        </w:rPr>
        <w:t>on</w:t>
      </w:r>
      <w:r w:rsidRPr="007F5D66">
        <w:rPr>
          <w:rFonts w:eastAsia="Times New Roman" w:cs="Times New Roman"/>
          <w:szCs w:val="24"/>
          <w:lang w:eastAsia="en-CA"/>
        </w:rPr>
        <w:t xml:space="preserve"> would have on the business requirements</w:t>
      </w:r>
      <w:r w:rsidR="49CD73D4" w:rsidRPr="007F5D66">
        <w:rPr>
          <w:rFonts w:eastAsia="Times New Roman" w:cs="Times New Roman"/>
          <w:szCs w:val="24"/>
          <w:lang w:eastAsia="en-CA"/>
        </w:rPr>
        <w:t xml:space="preserve">. </w:t>
      </w:r>
    </w:p>
    <w:p w14:paraId="46277DE0" w14:textId="30EA7068" w:rsidR="003A6C1F" w:rsidRPr="007F5D66" w:rsidRDefault="00AF3CDC" w:rsidP="00D255AC">
      <w:pPr>
        <w:pStyle w:val="ListParagraph"/>
        <w:numPr>
          <w:ilvl w:val="0"/>
          <w:numId w:val="34"/>
        </w:numPr>
        <w:spacing w:before="120" w:after="240"/>
        <w:ind w:left="360"/>
        <w:contextualSpacing w:val="0"/>
        <w:rPr>
          <w:rFonts w:eastAsia="Times New Roman" w:cs="Times New Roman"/>
          <w:szCs w:val="24"/>
          <w:lang w:eastAsia="en-CA"/>
        </w:rPr>
      </w:pPr>
      <w:r w:rsidRPr="007F5D66">
        <w:rPr>
          <w:rFonts w:eastAsia="Times New Roman" w:cs="Times New Roman"/>
          <w:szCs w:val="24"/>
          <w:lang w:eastAsia="en-CA"/>
        </w:rPr>
        <w:t xml:space="preserve">Consult with </w:t>
      </w:r>
      <w:r w:rsidR="00403B3A" w:rsidRPr="007F5D66">
        <w:rPr>
          <w:rFonts w:eastAsia="Times New Roman" w:cs="Times New Roman"/>
          <w:szCs w:val="24"/>
          <w:lang w:eastAsia="en-CA"/>
        </w:rPr>
        <w:t xml:space="preserve">public sector buyer’s </w:t>
      </w:r>
      <w:r w:rsidRPr="007F5D66">
        <w:rPr>
          <w:rFonts w:eastAsia="Times New Roman" w:cs="Times New Roman"/>
          <w:szCs w:val="24"/>
          <w:lang w:eastAsia="en-CA"/>
        </w:rPr>
        <w:t xml:space="preserve">legal </w:t>
      </w:r>
      <w:r w:rsidR="00970683" w:rsidRPr="007F5D66">
        <w:rPr>
          <w:rFonts w:eastAsia="Times New Roman" w:cs="Times New Roman"/>
          <w:szCs w:val="24"/>
          <w:lang w:eastAsia="en-CA"/>
        </w:rPr>
        <w:t xml:space="preserve">counsel </w:t>
      </w:r>
      <w:r w:rsidR="00D72CB5" w:rsidRPr="007F5D66">
        <w:rPr>
          <w:rFonts w:eastAsia="Times New Roman" w:cs="Times New Roman"/>
          <w:szCs w:val="24"/>
          <w:lang w:eastAsia="en-CA"/>
        </w:rPr>
        <w:t xml:space="preserve">for risk assessment and mitigation </w:t>
      </w:r>
      <w:r w:rsidR="00562B93" w:rsidRPr="007F5D66">
        <w:rPr>
          <w:rFonts w:eastAsia="Times New Roman" w:cs="Times New Roman"/>
          <w:szCs w:val="24"/>
          <w:lang w:eastAsia="en-CA"/>
        </w:rPr>
        <w:t>strategy</w:t>
      </w:r>
      <w:r w:rsidR="00E45C26" w:rsidRPr="007F5D66">
        <w:rPr>
          <w:rFonts w:eastAsia="Times New Roman" w:cs="Times New Roman"/>
          <w:szCs w:val="24"/>
          <w:lang w:eastAsia="en-CA"/>
        </w:rPr>
        <w:t>.</w:t>
      </w:r>
    </w:p>
    <w:p w14:paraId="183BE91F" w14:textId="21F3536C" w:rsidR="00040F40" w:rsidRPr="00635C0A" w:rsidRDefault="00040F40" w:rsidP="00D255AC">
      <w:pPr>
        <w:pStyle w:val="ListParagraph"/>
        <w:numPr>
          <w:ilvl w:val="0"/>
          <w:numId w:val="34"/>
        </w:numPr>
        <w:spacing w:before="120" w:after="240"/>
        <w:ind w:left="360"/>
        <w:contextualSpacing w:val="0"/>
        <w:rPr>
          <w:rFonts w:eastAsia="Times New Roman" w:cs="Times New Roman"/>
          <w:szCs w:val="24"/>
          <w:lang w:eastAsia="en-CA"/>
        </w:rPr>
      </w:pPr>
      <w:r w:rsidRPr="00635C0A">
        <w:rPr>
          <w:rFonts w:eastAsia="Times New Roman" w:cs="Times New Roman"/>
          <w:szCs w:val="24"/>
          <w:lang w:eastAsia="en-CA"/>
        </w:rPr>
        <w:t>Seek appropriate approvals.</w:t>
      </w:r>
    </w:p>
    <w:p w14:paraId="20A87E64" w14:textId="1974D79F" w:rsidR="00040F40" w:rsidRDefault="00040F40" w:rsidP="006E0400">
      <w:pPr>
        <w:pStyle w:val="ListParagraph"/>
        <w:numPr>
          <w:ilvl w:val="0"/>
          <w:numId w:val="58"/>
        </w:numPr>
        <w:spacing w:after="240" w:line="240" w:lineRule="auto"/>
        <w:rPr>
          <w:b/>
          <w:bCs/>
          <w:szCs w:val="24"/>
        </w:rPr>
      </w:pPr>
      <w:r w:rsidRPr="006E0400">
        <w:rPr>
          <w:b/>
          <w:bCs/>
          <w:szCs w:val="24"/>
        </w:rPr>
        <w:t>Procuring</w:t>
      </w:r>
    </w:p>
    <w:p w14:paraId="6F7DDC17" w14:textId="77777777" w:rsidR="006E0400" w:rsidRPr="006E0400" w:rsidRDefault="006E0400" w:rsidP="006E0400">
      <w:pPr>
        <w:pStyle w:val="ListParagraph"/>
        <w:spacing w:after="240" w:line="240" w:lineRule="auto"/>
        <w:rPr>
          <w:b/>
          <w:bCs/>
          <w:szCs w:val="24"/>
        </w:rPr>
      </w:pPr>
    </w:p>
    <w:p w14:paraId="7B057593" w14:textId="7B9284DB" w:rsidR="00040F40" w:rsidRPr="00126727" w:rsidRDefault="7F6F4009" w:rsidP="00D255AC">
      <w:pPr>
        <w:pStyle w:val="ListParagraph"/>
        <w:numPr>
          <w:ilvl w:val="0"/>
          <w:numId w:val="34"/>
        </w:numPr>
        <w:spacing w:before="120" w:after="240"/>
        <w:ind w:left="360"/>
        <w:contextualSpacing w:val="0"/>
        <w:rPr>
          <w:rFonts w:eastAsia="Times New Roman" w:cs="Times New Roman"/>
          <w:szCs w:val="24"/>
          <w:lang w:eastAsia="en-CA"/>
        </w:rPr>
      </w:pPr>
      <w:r w:rsidRPr="00126727">
        <w:rPr>
          <w:rFonts w:eastAsia="Times New Roman" w:cs="Times New Roman"/>
          <w:szCs w:val="24"/>
          <w:lang w:eastAsia="en-CA"/>
        </w:rPr>
        <w:t xml:space="preserve">Draft </w:t>
      </w:r>
      <w:r w:rsidR="00D6662F" w:rsidRPr="00126727">
        <w:rPr>
          <w:rFonts w:eastAsia="Times New Roman" w:cs="Times New Roman"/>
          <w:szCs w:val="24"/>
          <w:lang w:eastAsia="en-CA"/>
        </w:rPr>
        <w:t xml:space="preserve">the </w:t>
      </w:r>
      <w:r w:rsidRPr="00126727">
        <w:rPr>
          <w:rFonts w:eastAsia="Times New Roman" w:cs="Times New Roman"/>
          <w:szCs w:val="24"/>
          <w:lang w:eastAsia="en-CA"/>
        </w:rPr>
        <w:t>procurement document</w:t>
      </w:r>
      <w:r w:rsidR="0B6EEACA" w:rsidRPr="00126727">
        <w:rPr>
          <w:rFonts w:eastAsia="Times New Roman" w:cs="Times New Roman"/>
          <w:szCs w:val="24"/>
          <w:lang w:eastAsia="en-CA"/>
        </w:rPr>
        <w:t xml:space="preserve"> (</w:t>
      </w:r>
      <w:r w:rsidR="43CAA197" w:rsidRPr="00126727">
        <w:rPr>
          <w:rFonts w:eastAsia="Times New Roman" w:cs="Times New Roman"/>
          <w:szCs w:val="24"/>
          <w:lang w:eastAsia="en-CA"/>
        </w:rPr>
        <w:t>e.g.,</w:t>
      </w:r>
      <w:r w:rsidR="0B6EEACA" w:rsidRPr="00126727">
        <w:rPr>
          <w:rFonts w:eastAsia="Times New Roman" w:cs="Times New Roman"/>
          <w:szCs w:val="24"/>
          <w:lang w:eastAsia="en-CA"/>
        </w:rPr>
        <w:t xml:space="preserve"> Request for Bids)</w:t>
      </w:r>
      <w:r w:rsidRPr="00126727">
        <w:rPr>
          <w:rFonts w:eastAsia="Times New Roman" w:cs="Times New Roman"/>
          <w:szCs w:val="24"/>
          <w:lang w:eastAsia="en-CA"/>
        </w:rPr>
        <w:t xml:space="preserve">, </w:t>
      </w:r>
      <w:r w:rsidR="00572979" w:rsidRPr="00126727">
        <w:rPr>
          <w:rFonts w:eastAsia="Times New Roman" w:cs="Times New Roman"/>
          <w:szCs w:val="24"/>
          <w:lang w:eastAsia="en-CA"/>
        </w:rPr>
        <w:t xml:space="preserve">to include </w:t>
      </w:r>
      <w:r w:rsidR="7824B219" w:rsidRPr="00126727">
        <w:rPr>
          <w:rFonts w:eastAsia="Times New Roman" w:cs="Times New Roman"/>
          <w:szCs w:val="24"/>
          <w:lang w:eastAsia="en-CA"/>
        </w:rPr>
        <w:t xml:space="preserve">weighted </w:t>
      </w:r>
      <w:r w:rsidR="7D578A1F" w:rsidRPr="00126727">
        <w:rPr>
          <w:rFonts w:eastAsia="Times New Roman" w:cs="Times New Roman"/>
          <w:szCs w:val="24"/>
          <w:lang w:eastAsia="en-CA"/>
        </w:rPr>
        <w:t xml:space="preserve">domestic </w:t>
      </w:r>
      <w:r w:rsidR="7824B219" w:rsidRPr="00126727">
        <w:rPr>
          <w:rFonts w:eastAsia="Times New Roman" w:cs="Times New Roman"/>
          <w:szCs w:val="24"/>
          <w:lang w:eastAsia="en-CA"/>
        </w:rPr>
        <w:t>criteria</w:t>
      </w:r>
      <w:r w:rsidR="21D9AF22" w:rsidRPr="00126727">
        <w:rPr>
          <w:rFonts w:eastAsia="Times New Roman" w:cs="Times New Roman"/>
          <w:szCs w:val="24"/>
          <w:lang w:eastAsia="en-CA"/>
        </w:rPr>
        <w:t xml:space="preserve"> </w:t>
      </w:r>
      <w:r w:rsidR="00572979" w:rsidRPr="00126727">
        <w:rPr>
          <w:rFonts w:eastAsia="Times New Roman" w:cs="Times New Roman"/>
          <w:szCs w:val="24"/>
          <w:lang w:eastAsia="en-CA"/>
        </w:rPr>
        <w:t xml:space="preserve">in </w:t>
      </w:r>
      <w:r w:rsidR="21D9AF22" w:rsidRPr="00126727">
        <w:rPr>
          <w:rFonts w:eastAsia="Times New Roman" w:cs="Times New Roman"/>
          <w:szCs w:val="24"/>
          <w:lang w:eastAsia="en-CA"/>
        </w:rPr>
        <w:t xml:space="preserve">the </w:t>
      </w:r>
      <w:r w:rsidR="4D82C54E" w:rsidRPr="00126727">
        <w:rPr>
          <w:rFonts w:eastAsia="Times New Roman" w:cs="Times New Roman"/>
          <w:szCs w:val="24"/>
          <w:lang w:eastAsia="en-CA"/>
        </w:rPr>
        <w:t>technical</w:t>
      </w:r>
      <w:r w:rsidR="06DC3125" w:rsidRPr="00126727">
        <w:rPr>
          <w:rFonts w:eastAsia="Times New Roman" w:cs="Times New Roman"/>
          <w:szCs w:val="24"/>
          <w:lang w:eastAsia="en-CA"/>
        </w:rPr>
        <w:t xml:space="preserve"> s</w:t>
      </w:r>
      <w:r w:rsidR="0E25F85F" w:rsidRPr="00126727">
        <w:rPr>
          <w:rFonts w:eastAsia="Times New Roman" w:cs="Times New Roman"/>
          <w:szCs w:val="24"/>
          <w:lang w:eastAsia="en-CA"/>
        </w:rPr>
        <w:t>tage</w:t>
      </w:r>
      <w:r w:rsidR="06DC3125" w:rsidRPr="00126727">
        <w:rPr>
          <w:rFonts w:eastAsia="Times New Roman" w:cs="Times New Roman"/>
          <w:szCs w:val="24"/>
          <w:lang w:eastAsia="en-CA"/>
        </w:rPr>
        <w:t xml:space="preserve"> of the evaluation process</w:t>
      </w:r>
      <w:r w:rsidR="603E20A8" w:rsidRPr="00126727">
        <w:rPr>
          <w:rFonts w:eastAsia="Times New Roman" w:cs="Times New Roman"/>
          <w:szCs w:val="24"/>
          <w:lang w:eastAsia="en-CA"/>
        </w:rPr>
        <w:t>.</w:t>
      </w:r>
    </w:p>
    <w:p w14:paraId="00018A19" w14:textId="4E80C849" w:rsidR="00611402" w:rsidRPr="00126727" w:rsidRDefault="0A035DCD" w:rsidP="00D255AC">
      <w:pPr>
        <w:pStyle w:val="ListParagraph"/>
        <w:numPr>
          <w:ilvl w:val="0"/>
          <w:numId w:val="34"/>
        </w:numPr>
        <w:spacing w:before="120" w:after="240"/>
        <w:ind w:left="360"/>
        <w:contextualSpacing w:val="0"/>
        <w:rPr>
          <w:rFonts w:eastAsia="Times New Roman" w:cs="Times New Roman"/>
          <w:szCs w:val="24"/>
          <w:lang w:eastAsia="en-CA"/>
        </w:rPr>
      </w:pPr>
      <w:r w:rsidRPr="00126727">
        <w:rPr>
          <w:rFonts w:eastAsia="Times New Roman" w:cs="Times New Roman"/>
          <w:szCs w:val="24"/>
          <w:lang w:eastAsia="en-CA"/>
        </w:rPr>
        <w:t xml:space="preserve">Cumulative weight of the domestic criteria </w:t>
      </w:r>
      <w:r w:rsidR="0041485C" w:rsidRPr="00126727">
        <w:rPr>
          <w:rFonts w:eastAsia="Times New Roman" w:cs="Times New Roman"/>
          <w:szCs w:val="24"/>
          <w:lang w:eastAsia="en-CA"/>
        </w:rPr>
        <w:t xml:space="preserve">is recommended to be </w:t>
      </w:r>
      <w:r w:rsidR="00572979" w:rsidRPr="00126727">
        <w:rPr>
          <w:rFonts w:eastAsia="Times New Roman" w:cs="Times New Roman"/>
          <w:szCs w:val="24"/>
          <w:lang w:eastAsia="en-CA"/>
        </w:rPr>
        <w:t xml:space="preserve">between </w:t>
      </w:r>
      <w:r w:rsidRPr="00126727">
        <w:rPr>
          <w:rFonts w:eastAsia="Times New Roman" w:cs="Times New Roman"/>
          <w:szCs w:val="24"/>
          <w:lang w:eastAsia="en-CA"/>
        </w:rPr>
        <w:t xml:space="preserve">25% to 45% of the total evaluation score. </w:t>
      </w:r>
    </w:p>
    <w:p w14:paraId="1B7C91E6" w14:textId="71BAE79E" w:rsidR="00040F40" w:rsidRPr="00126727" w:rsidRDefault="00040F40" w:rsidP="00D255AC">
      <w:pPr>
        <w:pStyle w:val="ListParagraph"/>
        <w:numPr>
          <w:ilvl w:val="0"/>
          <w:numId w:val="34"/>
        </w:numPr>
        <w:spacing w:before="120" w:after="240"/>
        <w:ind w:left="360"/>
        <w:contextualSpacing w:val="0"/>
        <w:rPr>
          <w:rFonts w:eastAsia="Times New Roman" w:cs="Times New Roman"/>
          <w:szCs w:val="24"/>
          <w:lang w:eastAsia="en-CA"/>
        </w:rPr>
      </w:pPr>
      <w:r w:rsidRPr="00126727">
        <w:rPr>
          <w:rFonts w:eastAsia="Times New Roman" w:cs="Times New Roman"/>
          <w:szCs w:val="24"/>
          <w:lang w:eastAsia="en-CA"/>
        </w:rPr>
        <w:t xml:space="preserve">Post tender on </w:t>
      </w:r>
      <w:r w:rsidR="00D6662F" w:rsidRPr="00126727">
        <w:rPr>
          <w:rFonts w:eastAsia="Times New Roman" w:cs="Times New Roman"/>
          <w:szCs w:val="24"/>
          <w:lang w:eastAsia="en-CA"/>
        </w:rPr>
        <w:t>the</w:t>
      </w:r>
      <w:r w:rsidRPr="00126727">
        <w:rPr>
          <w:rFonts w:eastAsia="Times New Roman" w:cs="Times New Roman"/>
          <w:szCs w:val="24"/>
          <w:lang w:eastAsia="en-CA"/>
        </w:rPr>
        <w:t xml:space="preserve"> organization</w:t>
      </w:r>
      <w:r w:rsidR="0095533A" w:rsidRPr="00126727">
        <w:rPr>
          <w:rFonts w:eastAsia="Times New Roman" w:cs="Times New Roman"/>
          <w:szCs w:val="24"/>
          <w:lang w:eastAsia="en-CA"/>
        </w:rPr>
        <w:t>’</w:t>
      </w:r>
      <w:r w:rsidRPr="00126727">
        <w:rPr>
          <w:rFonts w:eastAsia="Times New Roman" w:cs="Times New Roman"/>
          <w:szCs w:val="24"/>
          <w:lang w:eastAsia="en-CA"/>
        </w:rPr>
        <w:t>s electronic tendering portal.</w:t>
      </w:r>
    </w:p>
    <w:p w14:paraId="14F5E406" w14:textId="5FF7C032" w:rsidR="00040F40" w:rsidRPr="000202DB" w:rsidRDefault="00040F40" w:rsidP="006E0400">
      <w:pPr>
        <w:pStyle w:val="ListParagraph"/>
        <w:numPr>
          <w:ilvl w:val="0"/>
          <w:numId w:val="58"/>
        </w:numPr>
        <w:spacing w:after="240" w:line="240" w:lineRule="auto"/>
        <w:contextualSpacing w:val="0"/>
        <w:rPr>
          <w:b/>
          <w:bCs/>
          <w:szCs w:val="24"/>
        </w:rPr>
      </w:pPr>
      <w:r w:rsidRPr="000202DB">
        <w:rPr>
          <w:b/>
          <w:bCs/>
          <w:szCs w:val="24"/>
        </w:rPr>
        <w:t xml:space="preserve">Evaluation of </w:t>
      </w:r>
      <w:r w:rsidR="00FC4775" w:rsidRPr="000202DB">
        <w:rPr>
          <w:b/>
          <w:bCs/>
          <w:szCs w:val="24"/>
        </w:rPr>
        <w:t>Responses</w:t>
      </w:r>
    </w:p>
    <w:p w14:paraId="0D5341AA" w14:textId="49269B90" w:rsidR="00040F40" w:rsidRPr="000202DB" w:rsidRDefault="00935528" w:rsidP="00D255AC">
      <w:pPr>
        <w:pStyle w:val="ListParagraph"/>
        <w:numPr>
          <w:ilvl w:val="0"/>
          <w:numId w:val="34"/>
        </w:numPr>
        <w:spacing w:before="120" w:after="240"/>
        <w:ind w:left="360"/>
        <w:contextualSpacing w:val="0"/>
        <w:rPr>
          <w:szCs w:val="24"/>
        </w:rPr>
      </w:pPr>
      <w:r w:rsidRPr="00126727">
        <w:rPr>
          <w:rFonts w:eastAsia="Times New Roman" w:cs="Times New Roman"/>
          <w:szCs w:val="24"/>
          <w:lang w:eastAsia="en-CA"/>
        </w:rPr>
        <w:t>Evaluate</w:t>
      </w:r>
      <w:r w:rsidR="00B63971" w:rsidRPr="00126727">
        <w:rPr>
          <w:rFonts w:eastAsia="Times New Roman" w:cs="Times New Roman"/>
          <w:szCs w:val="24"/>
          <w:lang w:eastAsia="en-CA"/>
        </w:rPr>
        <w:t xml:space="preserve"> per the procurement document</w:t>
      </w:r>
      <w:r w:rsidR="00B25310" w:rsidRPr="00126727">
        <w:rPr>
          <w:rFonts w:eastAsia="Times New Roman" w:cs="Times New Roman"/>
          <w:szCs w:val="24"/>
          <w:lang w:eastAsia="en-CA"/>
        </w:rPr>
        <w:t>.</w:t>
      </w:r>
    </w:p>
    <w:p w14:paraId="4E0AD433" w14:textId="65D2E213" w:rsidR="00040F40" w:rsidRPr="000202DB" w:rsidRDefault="00040F40" w:rsidP="006E0400">
      <w:pPr>
        <w:pStyle w:val="ListParagraph"/>
        <w:numPr>
          <w:ilvl w:val="0"/>
          <w:numId w:val="58"/>
        </w:numPr>
        <w:spacing w:after="240" w:line="240" w:lineRule="auto"/>
        <w:contextualSpacing w:val="0"/>
        <w:rPr>
          <w:b/>
          <w:bCs/>
          <w:szCs w:val="24"/>
        </w:rPr>
      </w:pPr>
      <w:r w:rsidRPr="000202DB">
        <w:rPr>
          <w:b/>
          <w:bCs/>
          <w:szCs w:val="24"/>
        </w:rPr>
        <w:t>Contract Development</w:t>
      </w:r>
    </w:p>
    <w:p w14:paraId="79D748A3" w14:textId="276DD56E" w:rsidR="00887603" w:rsidRPr="00126727" w:rsidRDefault="00E145F2" w:rsidP="00D255AC">
      <w:pPr>
        <w:pStyle w:val="ListParagraph"/>
        <w:numPr>
          <w:ilvl w:val="0"/>
          <w:numId w:val="34"/>
        </w:numPr>
        <w:spacing w:before="120" w:after="240"/>
        <w:ind w:left="360"/>
        <w:contextualSpacing w:val="0"/>
        <w:rPr>
          <w:rFonts w:eastAsia="Times New Roman" w:cs="Times New Roman"/>
          <w:szCs w:val="24"/>
          <w:lang w:eastAsia="en-CA"/>
        </w:rPr>
      </w:pPr>
      <w:r w:rsidRPr="00126727">
        <w:rPr>
          <w:rFonts w:eastAsia="Times New Roman" w:cs="Times New Roman"/>
          <w:szCs w:val="24"/>
          <w:lang w:eastAsia="en-CA"/>
        </w:rPr>
        <w:t>Contract a</w:t>
      </w:r>
      <w:r w:rsidR="21DCE0F5" w:rsidRPr="00126727">
        <w:rPr>
          <w:rFonts w:eastAsia="Times New Roman" w:cs="Times New Roman"/>
          <w:szCs w:val="24"/>
          <w:lang w:eastAsia="en-CA"/>
        </w:rPr>
        <w:t>ward</w:t>
      </w:r>
      <w:r w:rsidR="00B25310" w:rsidRPr="00126727">
        <w:rPr>
          <w:rFonts w:eastAsia="Times New Roman" w:cs="Times New Roman"/>
          <w:szCs w:val="24"/>
          <w:lang w:eastAsia="en-CA"/>
        </w:rPr>
        <w:t>.</w:t>
      </w:r>
    </w:p>
    <w:p w14:paraId="3D23CE3C" w14:textId="3BA195AF" w:rsidR="00E145F2" w:rsidRPr="00126727" w:rsidRDefault="00E908B2" w:rsidP="00D255AC">
      <w:pPr>
        <w:pStyle w:val="ListParagraph"/>
        <w:numPr>
          <w:ilvl w:val="0"/>
          <w:numId w:val="34"/>
        </w:numPr>
        <w:spacing w:before="120" w:after="240"/>
        <w:ind w:left="360"/>
        <w:contextualSpacing w:val="0"/>
        <w:rPr>
          <w:rFonts w:eastAsia="Times New Roman" w:cs="Times New Roman"/>
          <w:szCs w:val="24"/>
          <w:lang w:eastAsia="en-CA"/>
        </w:rPr>
      </w:pPr>
      <w:r w:rsidRPr="00126727">
        <w:rPr>
          <w:rFonts w:eastAsia="Times New Roman" w:cs="Times New Roman"/>
          <w:szCs w:val="24"/>
          <w:lang w:eastAsia="en-CA"/>
        </w:rPr>
        <w:t>Debrief suppliers</w:t>
      </w:r>
      <w:r w:rsidR="00B25310" w:rsidRPr="00126727">
        <w:rPr>
          <w:rFonts w:eastAsia="Times New Roman" w:cs="Times New Roman"/>
          <w:szCs w:val="24"/>
          <w:lang w:eastAsia="en-CA"/>
        </w:rPr>
        <w:t>.</w:t>
      </w:r>
    </w:p>
    <w:p w14:paraId="6CF4A570" w14:textId="74BA1046" w:rsidR="00040F40" w:rsidRPr="000202DB" w:rsidRDefault="00040F40" w:rsidP="006E0400">
      <w:pPr>
        <w:pStyle w:val="ListParagraph"/>
        <w:numPr>
          <w:ilvl w:val="0"/>
          <w:numId w:val="58"/>
        </w:numPr>
        <w:spacing w:after="240" w:line="240" w:lineRule="auto"/>
        <w:contextualSpacing w:val="0"/>
        <w:rPr>
          <w:b/>
          <w:bCs/>
          <w:szCs w:val="24"/>
        </w:rPr>
      </w:pPr>
      <w:r w:rsidRPr="000202DB">
        <w:rPr>
          <w:b/>
          <w:bCs/>
          <w:szCs w:val="24"/>
        </w:rPr>
        <w:t>Contract Management and Close</w:t>
      </w:r>
      <w:r w:rsidR="008277B4" w:rsidRPr="000202DB">
        <w:rPr>
          <w:b/>
          <w:bCs/>
          <w:szCs w:val="24"/>
        </w:rPr>
        <w:t xml:space="preserve"> O</w:t>
      </w:r>
      <w:r w:rsidRPr="000202DB">
        <w:rPr>
          <w:b/>
          <w:bCs/>
          <w:szCs w:val="24"/>
        </w:rPr>
        <w:t>ut</w:t>
      </w:r>
    </w:p>
    <w:p w14:paraId="007BB9BF" w14:textId="2A1FB6E0" w:rsidR="00040F40" w:rsidRPr="00126727" w:rsidRDefault="643C677E" w:rsidP="00D255AC">
      <w:pPr>
        <w:pStyle w:val="ListParagraph"/>
        <w:numPr>
          <w:ilvl w:val="0"/>
          <w:numId w:val="34"/>
        </w:numPr>
        <w:spacing w:before="120" w:after="240"/>
        <w:ind w:left="360"/>
        <w:contextualSpacing w:val="0"/>
        <w:rPr>
          <w:rFonts w:eastAsia="Times New Roman" w:cs="Times New Roman"/>
          <w:szCs w:val="24"/>
          <w:lang w:eastAsia="en-CA"/>
        </w:rPr>
      </w:pPr>
      <w:r w:rsidRPr="00126727">
        <w:rPr>
          <w:rFonts w:eastAsia="Times New Roman" w:cs="Times New Roman"/>
          <w:szCs w:val="24"/>
          <w:lang w:eastAsia="en-CA"/>
        </w:rPr>
        <w:t>No change in the process</w:t>
      </w:r>
    </w:p>
    <w:p w14:paraId="19BDBA08" w14:textId="77777777" w:rsidR="00FB43D1" w:rsidRDefault="00FB43D1">
      <w:pPr>
        <w:spacing w:before="0" w:line="259" w:lineRule="auto"/>
        <w:rPr>
          <w:rFonts w:eastAsiaTheme="majorEastAsia" w:cstheme="majorBidi"/>
          <w:b/>
          <w:bCs/>
          <w:smallCaps/>
          <w:color w:val="006E81" w:themeColor="text2"/>
          <w:sz w:val="28"/>
          <w:szCs w:val="28"/>
        </w:rPr>
      </w:pPr>
      <w:r>
        <w:br w:type="page"/>
      </w:r>
    </w:p>
    <w:p w14:paraId="79820234" w14:textId="15D7FAD0" w:rsidR="00592AA6" w:rsidRPr="000202DB" w:rsidRDefault="0020188E" w:rsidP="006F3345">
      <w:pPr>
        <w:pStyle w:val="Heading2"/>
      </w:pPr>
      <w:bookmarkStart w:id="30" w:name="_Toc174975055"/>
      <w:r w:rsidRPr="000202DB">
        <w:lastRenderedPageBreak/>
        <w:t xml:space="preserve">Strategy </w:t>
      </w:r>
      <w:r w:rsidR="003E42C1">
        <w:t>5</w:t>
      </w:r>
      <w:r w:rsidRPr="000202DB">
        <w:t xml:space="preserve">: </w:t>
      </w:r>
      <w:r w:rsidR="62F61A30" w:rsidRPr="000202DB">
        <w:t>Include an IRTB requirement for procurements with an estimated value of $50</w:t>
      </w:r>
      <w:r w:rsidR="00DE019A" w:rsidRPr="000202DB">
        <w:t xml:space="preserve"> million </w:t>
      </w:r>
      <w:r w:rsidR="62F61A30" w:rsidRPr="000202DB">
        <w:t>or more</w:t>
      </w:r>
      <w:r w:rsidR="61C7879D" w:rsidRPr="000202DB">
        <w:t xml:space="preserve"> in specified sectors</w:t>
      </w:r>
      <w:bookmarkEnd w:id="30"/>
    </w:p>
    <w:p w14:paraId="463A1929" w14:textId="29728424" w:rsidR="007D3603" w:rsidRDefault="007D3603" w:rsidP="00BC679E">
      <w:pPr>
        <w:spacing w:after="240" w:line="240" w:lineRule="auto"/>
        <w:rPr>
          <w:rFonts w:eastAsiaTheme="majorEastAsia" w:cstheme="majorBidi"/>
          <w:b/>
          <w:bCs/>
          <w:color w:val="006E81" w:themeColor="text2"/>
          <w:szCs w:val="24"/>
          <w:lang w:eastAsia="en-CA"/>
        </w:rPr>
      </w:pPr>
      <w:bookmarkStart w:id="31" w:name="_Toc160536215"/>
      <w:bookmarkStart w:id="32" w:name="_Toc160543350"/>
      <w:bookmarkStart w:id="33" w:name="_Toc160543410"/>
      <w:bookmarkStart w:id="34" w:name="_Toc160543956"/>
      <w:bookmarkStart w:id="35" w:name="_Toc160544103"/>
      <w:bookmarkStart w:id="36" w:name="_Toc160544268"/>
      <w:bookmarkStart w:id="37" w:name="_Toc160548739"/>
      <w:bookmarkStart w:id="38" w:name="_Toc140237058"/>
      <w:bookmarkStart w:id="39" w:name="_Toc140237060"/>
      <w:bookmarkEnd w:id="31"/>
      <w:bookmarkEnd w:id="32"/>
      <w:bookmarkEnd w:id="33"/>
      <w:bookmarkEnd w:id="34"/>
      <w:bookmarkEnd w:id="35"/>
      <w:bookmarkEnd w:id="36"/>
      <w:bookmarkEnd w:id="37"/>
      <w:bookmarkEnd w:id="38"/>
      <w:bookmarkEnd w:id="39"/>
      <w:r w:rsidRPr="000202DB">
        <w:rPr>
          <w:rFonts w:eastAsiaTheme="majorEastAsia" w:cstheme="majorBidi"/>
          <w:b/>
          <w:bCs/>
          <w:color w:val="006E81" w:themeColor="text2"/>
          <w:szCs w:val="24"/>
          <w:lang w:eastAsia="en-CA"/>
        </w:rPr>
        <w:t>When to use</w:t>
      </w:r>
    </w:p>
    <w:p w14:paraId="316A563B" w14:textId="7D8442C2" w:rsidR="003C36E1" w:rsidRPr="00C11093" w:rsidRDefault="003C36E1" w:rsidP="00D255AC">
      <w:pPr>
        <w:pStyle w:val="ListParagraph"/>
        <w:numPr>
          <w:ilvl w:val="0"/>
          <w:numId w:val="33"/>
        </w:numPr>
        <w:spacing w:before="120" w:after="240"/>
        <w:ind w:left="360"/>
        <w:contextualSpacing w:val="0"/>
        <w:rPr>
          <w:color w:val="000000" w:themeColor="text1"/>
        </w:rPr>
      </w:pPr>
      <w:r w:rsidRPr="00C11093">
        <w:rPr>
          <w:color w:val="000000" w:themeColor="text1"/>
        </w:rPr>
        <w:t>The</w:t>
      </w:r>
      <w:r w:rsidR="00797C1E" w:rsidRPr="00C11093">
        <w:rPr>
          <w:rFonts w:cs="Arial"/>
        </w:rPr>
        <w:t xml:space="preserve"> Industrial Regional and Technology Benefit (</w:t>
      </w:r>
      <w:proofErr w:type="gramStart"/>
      <w:r w:rsidR="00797C1E" w:rsidRPr="00C11093">
        <w:rPr>
          <w:rFonts w:cs="Arial"/>
        </w:rPr>
        <w:t xml:space="preserve">IRTB) </w:t>
      </w:r>
      <w:r w:rsidRPr="00C11093">
        <w:rPr>
          <w:color w:val="000000" w:themeColor="text1"/>
        </w:rPr>
        <w:t xml:space="preserve"> applies</w:t>
      </w:r>
      <w:proofErr w:type="gramEnd"/>
      <w:r w:rsidRPr="00C11093">
        <w:rPr>
          <w:color w:val="000000" w:themeColor="text1"/>
        </w:rPr>
        <w:t xml:space="preserve"> to all procurements valued at $50M and above, related to </w:t>
      </w:r>
      <w:r w:rsidRPr="00C11093">
        <w:rPr>
          <w:b/>
          <w:bCs/>
          <w:color w:val="000000" w:themeColor="text1"/>
        </w:rPr>
        <w:t>construction</w:t>
      </w:r>
      <w:r w:rsidRPr="00C11093">
        <w:rPr>
          <w:color w:val="000000" w:themeColor="text1"/>
        </w:rPr>
        <w:t>,</w:t>
      </w:r>
      <w:r w:rsidRPr="00C11093">
        <w:rPr>
          <w:b/>
          <w:bCs/>
          <w:color w:val="000000" w:themeColor="text1"/>
        </w:rPr>
        <w:t xml:space="preserve"> infrastructure</w:t>
      </w:r>
      <w:r w:rsidRPr="00C11093">
        <w:rPr>
          <w:color w:val="000000" w:themeColor="text1"/>
        </w:rPr>
        <w:t xml:space="preserve">, </w:t>
      </w:r>
      <w:r w:rsidRPr="00C11093">
        <w:rPr>
          <w:b/>
          <w:bCs/>
          <w:color w:val="000000" w:themeColor="text1"/>
        </w:rPr>
        <w:t>environment</w:t>
      </w:r>
      <w:r w:rsidRPr="00C11093">
        <w:rPr>
          <w:color w:val="000000" w:themeColor="text1"/>
        </w:rPr>
        <w:t xml:space="preserve">, and </w:t>
      </w:r>
      <w:r w:rsidRPr="00C11093">
        <w:rPr>
          <w:b/>
          <w:bCs/>
          <w:color w:val="000000" w:themeColor="text1"/>
        </w:rPr>
        <w:t>Information Technology (I.T)</w:t>
      </w:r>
      <w:r w:rsidRPr="00C11093">
        <w:rPr>
          <w:color w:val="000000" w:themeColor="text1"/>
        </w:rPr>
        <w:t xml:space="preserve"> </w:t>
      </w:r>
      <w:r w:rsidR="001A3AC7" w:rsidRPr="00C11093">
        <w:rPr>
          <w:color w:val="000000" w:themeColor="text1"/>
        </w:rPr>
        <w:t>and where</w:t>
      </w:r>
      <w:r w:rsidRPr="00C11093">
        <w:rPr>
          <w:color w:val="000000" w:themeColor="text1"/>
        </w:rPr>
        <w:t xml:space="preserve"> trade flexibilities apply.</w:t>
      </w:r>
    </w:p>
    <w:p w14:paraId="4FE365C7" w14:textId="3314803A" w:rsidR="00C11093" w:rsidRPr="00C11093" w:rsidRDefault="003C36E1" w:rsidP="00D255AC">
      <w:pPr>
        <w:pStyle w:val="ListParagraph"/>
        <w:numPr>
          <w:ilvl w:val="0"/>
          <w:numId w:val="33"/>
        </w:numPr>
        <w:spacing w:before="120" w:after="240"/>
        <w:ind w:left="360"/>
        <w:contextualSpacing w:val="0"/>
        <w:rPr>
          <w:rFonts w:eastAsiaTheme="majorEastAsia" w:cstheme="majorBidi"/>
          <w:b/>
          <w:bCs/>
          <w:color w:val="000000" w:themeColor="text1"/>
          <w:lang w:eastAsia="en-CA"/>
        </w:rPr>
      </w:pPr>
      <w:r w:rsidRPr="00C11093">
        <w:rPr>
          <w:color w:val="000000" w:themeColor="text1"/>
        </w:rPr>
        <w:t>For procurements with a value of $50M or more and which are not in one of the targeted sectors above, buyers are not required to include this requirement in their procurements.</w:t>
      </w:r>
    </w:p>
    <w:p w14:paraId="4C1F0C00" w14:textId="673DFB6D" w:rsidR="00DB6F8F" w:rsidRPr="00C11093" w:rsidRDefault="00DB6F8F" w:rsidP="0075412A">
      <w:pPr>
        <w:pStyle w:val="Heading3"/>
      </w:pPr>
      <w:r w:rsidRPr="00C11093">
        <w:t>Description of Strategy</w:t>
      </w:r>
    </w:p>
    <w:p w14:paraId="7D3B5E3A" w14:textId="49038D45" w:rsidR="00DB6F8F" w:rsidRPr="000508F9" w:rsidRDefault="00C11093" w:rsidP="00D255AC">
      <w:pPr>
        <w:pStyle w:val="ListParagraph"/>
        <w:numPr>
          <w:ilvl w:val="0"/>
          <w:numId w:val="34"/>
        </w:numPr>
        <w:spacing w:before="120" w:after="240"/>
        <w:ind w:left="360"/>
        <w:contextualSpacing w:val="0"/>
        <w:rPr>
          <w:rFonts w:cs="Arial"/>
        </w:rPr>
      </w:pPr>
      <w:r w:rsidRPr="00C11093">
        <w:rPr>
          <w:rFonts w:cs="Arial"/>
        </w:rPr>
        <w:t xml:space="preserve">The Industrial Regional and Technology Benefit (IRTB) strategy is designed to increase the local economic benefits gained from large procurements made by Ontario’s public sector. </w:t>
      </w:r>
    </w:p>
    <w:p w14:paraId="5A366A42" w14:textId="0B163DD6" w:rsidR="001A3AC7" w:rsidRPr="001A3AC7" w:rsidRDefault="001A3AC7" w:rsidP="00264B5C">
      <w:pPr>
        <w:spacing w:after="240"/>
        <w:rPr>
          <w:rFonts w:cs="Arial"/>
        </w:rPr>
      </w:pPr>
      <w:r w:rsidRPr="00B32DDF">
        <w:rPr>
          <w:rFonts w:cs="Arial"/>
          <w:b/>
          <w:bCs/>
          <w:sz w:val="28"/>
          <w:szCs w:val="28"/>
        </w:rPr>
        <w:t>Note:</w:t>
      </w:r>
      <w:r w:rsidR="00C33707">
        <w:rPr>
          <w:rFonts w:cs="Arial"/>
        </w:rPr>
        <w:t xml:space="preserve"> For buyers incorporating the </w:t>
      </w:r>
      <w:r w:rsidRPr="001A3AC7">
        <w:rPr>
          <w:rFonts w:cs="Arial"/>
        </w:rPr>
        <w:t xml:space="preserve">IRTB </w:t>
      </w:r>
      <w:r w:rsidR="00C33707">
        <w:rPr>
          <w:rFonts w:cs="Arial"/>
        </w:rPr>
        <w:t xml:space="preserve">strategy please reach out to </w:t>
      </w:r>
      <w:r w:rsidR="00735FCA">
        <w:rPr>
          <w:rFonts w:cs="Arial"/>
        </w:rPr>
        <w:t xml:space="preserve">Supply Ontario for guidance. </w:t>
      </w:r>
    </w:p>
    <w:p w14:paraId="2953986C" w14:textId="35FBBC68" w:rsidR="16D46C35" w:rsidRDefault="000D5999" w:rsidP="003A1AC7">
      <w:pPr>
        <w:pStyle w:val="Heading1"/>
      </w:pPr>
      <w:bookmarkStart w:id="40" w:name="_Toc174975056"/>
      <w:r>
        <w:t>T</w:t>
      </w:r>
      <w:r w:rsidR="00170F20">
        <w:t xml:space="preserve">rade </w:t>
      </w:r>
      <w:r w:rsidR="00CB6C97">
        <w:t>E</w:t>
      </w:r>
      <w:r w:rsidR="00170F20">
        <w:t>xceptions and Non-</w:t>
      </w:r>
      <w:r w:rsidR="00C12A8F">
        <w:t xml:space="preserve">Applications Provisions </w:t>
      </w:r>
      <w:r w:rsidR="003E2E46">
        <w:t>(</w:t>
      </w:r>
      <w:r w:rsidR="005D5C8B">
        <w:t>N</w:t>
      </w:r>
      <w:r w:rsidR="00C12A8F">
        <w:t>on-Competitive Procurement Process</w:t>
      </w:r>
      <w:r w:rsidR="00C96B58">
        <w:t>)</w:t>
      </w:r>
      <w:bookmarkEnd w:id="40"/>
      <w:r w:rsidR="00C96B58">
        <w:t xml:space="preserve"> </w:t>
      </w:r>
    </w:p>
    <w:p w14:paraId="0F0CE450" w14:textId="621F4B78" w:rsidR="005D5C8B" w:rsidRDefault="00F87FAA" w:rsidP="006F3345">
      <w:pPr>
        <w:pStyle w:val="Heading2"/>
      </w:pPr>
      <w:bookmarkStart w:id="41" w:name="_Toc174975057"/>
      <w:r>
        <w:t xml:space="preserve">Strategy 6: </w:t>
      </w:r>
      <w:r w:rsidR="00CA3CE9">
        <w:t>leverage trade agreements’ non-application/limited tendering opportunities to give preference to an Ontario business wherever feasible.</w:t>
      </w:r>
      <w:bookmarkStart w:id="42" w:name="_Toc82601593"/>
      <w:bookmarkEnd w:id="41"/>
    </w:p>
    <w:p w14:paraId="36B90F31" w14:textId="77777777" w:rsidR="00D018A5" w:rsidRPr="00844B26" w:rsidRDefault="00D018A5" w:rsidP="00BC679E">
      <w:pPr>
        <w:spacing w:after="240" w:line="240" w:lineRule="auto"/>
        <w:rPr>
          <w:rFonts w:eastAsiaTheme="majorEastAsia" w:cstheme="majorBidi"/>
          <w:b/>
          <w:bCs/>
          <w:color w:val="006E81" w:themeColor="text2"/>
          <w:szCs w:val="24"/>
          <w:lang w:eastAsia="en-CA"/>
        </w:rPr>
      </w:pPr>
      <w:r w:rsidRPr="00844B26">
        <w:rPr>
          <w:rFonts w:eastAsiaTheme="majorEastAsia" w:cstheme="majorBidi"/>
          <w:b/>
          <w:bCs/>
          <w:color w:val="006E81" w:themeColor="text2"/>
          <w:szCs w:val="24"/>
          <w:lang w:eastAsia="en-CA"/>
        </w:rPr>
        <w:t>When to use:</w:t>
      </w:r>
    </w:p>
    <w:p w14:paraId="13287242" w14:textId="77777777" w:rsidR="00D30A76" w:rsidRPr="000F6636" w:rsidRDefault="00D30A76" w:rsidP="00D255AC">
      <w:pPr>
        <w:pStyle w:val="ListParagraph"/>
        <w:numPr>
          <w:ilvl w:val="0"/>
          <w:numId w:val="33"/>
        </w:numPr>
        <w:spacing w:before="120" w:after="240"/>
        <w:ind w:left="360"/>
        <w:contextualSpacing w:val="0"/>
        <w:rPr>
          <w:rFonts w:cs="Arial"/>
          <w:szCs w:val="24"/>
        </w:rPr>
      </w:pPr>
      <w:r w:rsidRPr="000F6636">
        <w:rPr>
          <w:rFonts w:cs="Arial"/>
          <w:szCs w:val="24"/>
        </w:rPr>
        <w:t xml:space="preserve">Where possible, utilize provisions and exceptions contained within the applicable trade agreements to direct procurements towards Ontario businesses. </w:t>
      </w:r>
    </w:p>
    <w:p w14:paraId="5D1D5EA3" w14:textId="59C9E3EE" w:rsidR="00161CE6" w:rsidRDefault="00953566" w:rsidP="00D255AC">
      <w:pPr>
        <w:pStyle w:val="ListParagraph"/>
        <w:numPr>
          <w:ilvl w:val="0"/>
          <w:numId w:val="33"/>
        </w:numPr>
        <w:spacing w:before="120" w:after="240"/>
        <w:ind w:left="360"/>
        <w:contextualSpacing w:val="0"/>
      </w:pPr>
      <w:r>
        <w:lastRenderedPageBreak/>
        <w:t xml:space="preserve">Certain allowable exceptions exist whereby government entities, subject to appropriate procurement approval authority, can use a non-competitive procurement process. </w:t>
      </w:r>
      <w:r w:rsidR="00844B26">
        <w:rPr>
          <w:rStyle w:val="FootnoteReference"/>
        </w:rPr>
        <w:footnoteReference w:id="5"/>
      </w:r>
    </w:p>
    <w:p w14:paraId="4EA55F83" w14:textId="00BECF21" w:rsidR="005D0241" w:rsidRDefault="00E009E8" w:rsidP="00D255AC">
      <w:pPr>
        <w:pStyle w:val="ListParagraph"/>
        <w:numPr>
          <w:ilvl w:val="0"/>
          <w:numId w:val="33"/>
        </w:numPr>
        <w:spacing w:before="120" w:after="240"/>
        <w:ind w:left="360"/>
        <w:contextualSpacing w:val="0"/>
      </w:pPr>
      <w:r>
        <w:t>Subject to appropriate procurement approvals, non-competitive procurement of goods, consulting and non-consulting services are only allowed under the following circumstances</w:t>
      </w:r>
      <w:r w:rsidR="003445A7">
        <w:t>:</w:t>
      </w:r>
    </w:p>
    <w:p w14:paraId="67364DC5" w14:textId="537A95B0" w:rsidR="005D0241" w:rsidRDefault="00E009E8" w:rsidP="00D255AC">
      <w:pPr>
        <w:pStyle w:val="ListParagraph"/>
        <w:numPr>
          <w:ilvl w:val="0"/>
          <w:numId w:val="54"/>
        </w:numPr>
        <w:spacing w:before="120" w:after="240"/>
        <w:contextualSpacing w:val="0"/>
      </w:pPr>
      <w:r>
        <w:t xml:space="preserve">Where an unforeseen situation of urgency exists and the goods, consulting services, services or construction cannot be obtained by means of a competitive procurement process. </w:t>
      </w:r>
    </w:p>
    <w:p w14:paraId="4575B440" w14:textId="5D642CBC" w:rsidR="00C941F0" w:rsidRDefault="00E009E8" w:rsidP="00D255AC">
      <w:pPr>
        <w:pStyle w:val="ListParagraph"/>
        <w:numPr>
          <w:ilvl w:val="0"/>
          <w:numId w:val="54"/>
        </w:numPr>
        <w:spacing w:before="120" w:after="240"/>
        <w:contextualSpacing w:val="0"/>
      </w:pPr>
      <w:r>
        <w:t xml:space="preserve">Where goods, </w:t>
      </w:r>
      <w:proofErr w:type="gramStart"/>
      <w:r>
        <w:t>consulting</w:t>
      </w:r>
      <w:proofErr w:type="gramEnd"/>
      <w:r>
        <w:t xml:space="preserve"> or non-consulting services regarding matters of a confidential or privileged nature are to be purchased and the disclosure of those matters through a competitive procurement process could reasonably be expected to compromise government confidentiality, cause economic disruption or otherwise be contrary to the public interest. </w:t>
      </w:r>
    </w:p>
    <w:p w14:paraId="4533BF8C" w14:textId="2ABF0254" w:rsidR="00C941F0" w:rsidRDefault="00E009E8" w:rsidP="00D255AC">
      <w:pPr>
        <w:pStyle w:val="ListParagraph"/>
        <w:numPr>
          <w:ilvl w:val="0"/>
          <w:numId w:val="54"/>
        </w:numPr>
        <w:spacing w:before="120" w:after="240"/>
        <w:contextualSpacing w:val="0"/>
      </w:pPr>
      <w:r>
        <w:t>Where a competitive process could interfere with the government’s ability to maintain security or order or to protect human, animal or plant life or health d) Where there is an absence of any qualified bids in response to a competitive procurement process</w:t>
      </w:r>
      <w:r w:rsidR="00B637E6">
        <w:t>.</w:t>
      </w:r>
    </w:p>
    <w:p w14:paraId="69A827BD" w14:textId="3A6EE3D1" w:rsidR="00B637E6" w:rsidRDefault="00E009E8" w:rsidP="00D255AC">
      <w:pPr>
        <w:pStyle w:val="ListParagraph"/>
        <w:numPr>
          <w:ilvl w:val="0"/>
          <w:numId w:val="54"/>
        </w:numPr>
        <w:spacing w:before="120" w:after="240"/>
        <w:contextualSpacing w:val="0"/>
      </w:pPr>
      <w:r>
        <w:t xml:space="preserve">Where the Procurement is in support of Aboriginal peoples. </w:t>
      </w:r>
    </w:p>
    <w:p w14:paraId="19A7AE7F" w14:textId="3D5D0656" w:rsidR="00B637E6" w:rsidRDefault="00E009E8" w:rsidP="00D255AC">
      <w:pPr>
        <w:pStyle w:val="ListParagraph"/>
        <w:numPr>
          <w:ilvl w:val="0"/>
          <w:numId w:val="54"/>
        </w:numPr>
        <w:spacing w:before="120" w:after="240"/>
        <w:contextualSpacing w:val="0"/>
      </w:pPr>
      <w:r>
        <w:t xml:space="preserve">Where the Procurement is with a public body. </w:t>
      </w:r>
    </w:p>
    <w:p w14:paraId="33BFDC68" w14:textId="598B6A54" w:rsidR="00B637E6" w:rsidRDefault="00E009E8" w:rsidP="00D255AC">
      <w:pPr>
        <w:pStyle w:val="ListParagraph"/>
        <w:numPr>
          <w:ilvl w:val="0"/>
          <w:numId w:val="54"/>
        </w:numPr>
        <w:spacing w:before="120" w:after="240"/>
        <w:contextualSpacing w:val="0"/>
      </w:pPr>
      <w:r>
        <w:t xml:space="preserve">Where only one supplier </w:t>
      </w:r>
      <w:proofErr w:type="gramStart"/>
      <w:r>
        <w:t>is able to</w:t>
      </w:r>
      <w:proofErr w:type="gramEnd"/>
      <w:r>
        <w:t xml:space="preserve"> meet the requirements of a Procurement in the following circumstances: </w:t>
      </w:r>
    </w:p>
    <w:p w14:paraId="1A90F93E" w14:textId="38DDDEBD" w:rsidR="00C05757" w:rsidRDefault="00E009E8" w:rsidP="00D255AC">
      <w:pPr>
        <w:pStyle w:val="ListParagraph"/>
        <w:numPr>
          <w:ilvl w:val="2"/>
          <w:numId w:val="55"/>
        </w:numPr>
        <w:spacing w:after="240"/>
        <w:ind w:left="1530"/>
      </w:pPr>
      <w:r>
        <w:lastRenderedPageBreak/>
        <w:t xml:space="preserve">To ensure compatibility with existing products and services. Compatibility with existing products or services may not be allowable if the reason for compatibility is the result of one or more previous non-competitive Procurements. </w:t>
      </w:r>
    </w:p>
    <w:p w14:paraId="7911ABC2" w14:textId="79BD524E" w:rsidR="00C05757" w:rsidRDefault="00E009E8" w:rsidP="00D255AC">
      <w:pPr>
        <w:pStyle w:val="ListParagraph"/>
        <w:numPr>
          <w:ilvl w:val="2"/>
          <w:numId w:val="55"/>
        </w:numPr>
        <w:spacing w:after="240"/>
        <w:ind w:left="1530"/>
      </w:pPr>
      <w:r>
        <w:t xml:space="preserve">To recognize exclusive rights, such as exclusive licenses, </w:t>
      </w:r>
      <w:proofErr w:type="gramStart"/>
      <w:r>
        <w:t>copyright</w:t>
      </w:r>
      <w:proofErr w:type="gramEnd"/>
      <w:r>
        <w:t xml:space="preserve"> and patent rights, or to maintain specialized products that must be maintained by the manufacturer or its representatives. </w:t>
      </w:r>
    </w:p>
    <w:p w14:paraId="65C52A32" w14:textId="320909EA" w:rsidR="00C05757" w:rsidRDefault="00E009E8" w:rsidP="00D255AC">
      <w:pPr>
        <w:pStyle w:val="ListParagraph"/>
        <w:numPr>
          <w:ilvl w:val="2"/>
          <w:numId w:val="55"/>
        </w:numPr>
        <w:spacing w:after="240"/>
        <w:ind w:left="1541" w:hanging="187"/>
        <w:contextualSpacing w:val="0"/>
      </w:pPr>
      <w:r>
        <w:t>For the Procurement of goods and services the supply of which is controlled by a supplier that has a statutory monopoly.</w:t>
      </w:r>
    </w:p>
    <w:p w14:paraId="270E86B9" w14:textId="77777777" w:rsidR="00C05757" w:rsidRPr="003338AC" w:rsidRDefault="00E009E8" w:rsidP="00D255AC">
      <w:pPr>
        <w:pStyle w:val="ListParagraph"/>
        <w:numPr>
          <w:ilvl w:val="0"/>
          <w:numId w:val="33"/>
        </w:numPr>
        <w:spacing w:before="120" w:after="240"/>
        <w:ind w:left="360"/>
        <w:contextualSpacing w:val="0"/>
        <w:rPr>
          <w:rFonts w:cs="Arial"/>
          <w:szCs w:val="24"/>
        </w:rPr>
      </w:pPr>
      <w:r w:rsidRPr="003338AC">
        <w:rPr>
          <w:rFonts w:cs="Arial"/>
          <w:szCs w:val="24"/>
        </w:rPr>
        <w:t xml:space="preserve">The following additional circumstances in which non-competitive Procurements are allowed only apply to goods and non-consulting services, subject to appropriate procurement approvals: </w:t>
      </w:r>
    </w:p>
    <w:p w14:paraId="2D6A5896" w14:textId="63E3247C" w:rsidR="00C05757" w:rsidRDefault="00E009E8" w:rsidP="00D255AC">
      <w:pPr>
        <w:pStyle w:val="ListParagraph"/>
        <w:numPr>
          <w:ilvl w:val="0"/>
          <w:numId w:val="56"/>
        </w:numPr>
        <w:spacing w:before="120" w:after="240"/>
        <w:contextualSpacing w:val="0"/>
      </w:pPr>
      <w:r>
        <w:t xml:space="preserve">Where an award is made under a co-operation agreement that is financed, in whole or in part, by an international organization only to the extent that the agreement includes different rules for awarding Contracts. </w:t>
      </w:r>
    </w:p>
    <w:p w14:paraId="79076782" w14:textId="1BABAB8E" w:rsidR="007C6E7E" w:rsidRDefault="00E009E8" w:rsidP="00D255AC">
      <w:pPr>
        <w:pStyle w:val="ListParagraph"/>
        <w:numPr>
          <w:ilvl w:val="0"/>
          <w:numId w:val="56"/>
        </w:numPr>
        <w:spacing w:before="120" w:after="240"/>
        <w:contextualSpacing w:val="0"/>
      </w:pPr>
      <w:r>
        <w:t xml:space="preserve">Where construction materials are to be purchased and it can be demonstrated that transportation costs or technical considerations impose geographic limits on the available supply base, specifically in the case of sand, stone, gravel, asphalt compound and pre-mixed concrete for use in the construction or repair of roads. </w:t>
      </w:r>
    </w:p>
    <w:p w14:paraId="720FA1DB" w14:textId="30E57D57" w:rsidR="000C4A94" w:rsidRDefault="00E009E8" w:rsidP="00D255AC">
      <w:pPr>
        <w:pStyle w:val="ListParagraph"/>
        <w:numPr>
          <w:ilvl w:val="0"/>
          <w:numId w:val="56"/>
        </w:numPr>
        <w:spacing w:before="120" w:after="240"/>
        <w:contextualSpacing w:val="0"/>
      </w:pPr>
      <w:r>
        <w:t xml:space="preserve">Where only one supplier </w:t>
      </w:r>
      <w:proofErr w:type="gramStart"/>
      <w:r>
        <w:t>is able to</w:t>
      </w:r>
      <w:proofErr w:type="gramEnd"/>
      <w:r>
        <w:t xml:space="preserve"> meet the requirements of a Procurement in the following circumstances: </w:t>
      </w:r>
    </w:p>
    <w:p w14:paraId="4D7F93C8" w14:textId="44A9129E" w:rsidR="000C4A94" w:rsidRDefault="00E009E8" w:rsidP="00D255AC">
      <w:pPr>
        <w:pStyle w:val="ListParagraph"/>
        <w:numPr>
          <w:ilvl w:val="0"/>
          <w:numId w:val="57"/>
        </w:numPr>
        <w:spacing w:after="240"/>
      </w:pPr>
      <w:r>
        <w:t xml:space="preserve">For the purchase of goods on a commodity market. </w:t>
      </w:r>
    </w:p>
    <w:p w14:paraId="5F881BD8" w14:textId="45E91D6C" w:rsidR="000C4A94" w:rsidRDefault="00E009E8" w:rsidP="00D255AC">
      <w:pPr>
        <w:pStyle w:val="ListParagraph"/>
        <w:numPr>
          <w:ilvl w:val="0"/>
          <w:numId w:val="57"/>
        </w:numPr>
        <w:spacing w:after="240"/>
      </w:pPr>
      <w:r>
        <w:t>For work to be performed on or about a leased building or portions thereof that may be performed only by the lessor.</w:t>
      </w:r>
    </w:p>
    <w:p w14:paraId="3BAB38B2" w14:textId="1FE5B3AC" w:rsidR="000C4A94" w:rsidRDefault="00E009E8" w:rsidP="00D255AC">
      <w:pPr>
        <w:pStyle w:val="ListParagraph"/>
        <w:numPr>
          <w:ilvl w:val="0"/>
          <w:numId w:val="57"/>
        </w:numPr>
        <w:spacing w:after="240"/>
      </w:pPr>
      <w:r>
        <w:t xml:space="preserve">For work to be performed on property by a Contractor according to provisions of a warranty or guarantee held in respect to the property or original work. </w:t>
      </w:r>
    </w:p>
    <w:p w14:paraId="4BA2B06C" w14:textId="46E8C661" w:rsidR="000C4A94" w:rsidRDefault="00E009E8" w:rsidP="00D255AC">
      <w:pPr>
        <w:pStyle w:val="ListParagraph"/>
        <w:numPr>
          <w:ilvl w:val="0"/>
          <w:numId w:val="57"/>
        </w:numPr>
        <w:spacing w:after="240"/>
      </w:pPr>
      <w:r>
        <w:t xml:space="preserve">For a Contract to be awarded to the winner of a design contest. </w:t>
      </w:r>
    </w:p>
    <w:p w14:paraId="7E840CFC" w14:textId="54EDC1E8" w:rsidR="000C4A94" w:rsidRDefault="00E009E8" w:rsidP="00D255AC">
      <w:pPr>
        <w:pStyle w:val="ListParagraph"/>
        <w:numPr>
          <w:ilvl w:val="0"/>
          <w:numId w:val="57"/>
        </w:numPr>
        <w:spacing w:after="240"/>
      </w:pPr>
      <w:r>
        <w:lastRenderedPageBreak/>
        <w:t xml:space="preserve">For the Procurement of a prototype or a first good/service to be developed </w:t>
      </w:r>
      <w:proofErr w:type="gramStart"/>
      <w:r>
        <w:t>in the course of</w:t>
      </w:r>
      <w:proofErr w:type="gramEnd"/>
      <w:r>
        <w:t xml:space="preserve"> research, experiment, study, or original development but not for any subsequent purchases. </w:t>
      </w:r>
    </w:p>
    <w:p w14:paraId="67171C73" w14:textId="06D8CB15" w:rsidR="001D18E8" w:rsidRDefault="00E009E8" w:rsidP="00D255AC">
      <w:pPr>
        <w:pStyle w:val="ListParagraph"/>
        <w:numPr>
          <w:ilvl w:val="0"/>
          <w:numId w:val="57"/>
        </w:numPr>
        <w:spacing w:after="240"/>
      </w:pPr>
      <w:r>
        <w:t xml:space="preserve">For the purchase of goods under exceptionally advantageous circumstances such as bankruptcy or receivership, but not for routine purchases. </w:t>
      </w:r>
    </w:p>
    <w:p w14:paraId="6BE622F8" w14:textId="162C5D3D" w:rsidR="001D18E8" w:rsidRDefault="00E009E8" w:rsidP="00D255AC">
      <w:pPr>
        <w:pStyle w:val="ListParagraph"/>
        <w:numPr>
          <w:ilvl w:val="0"/>
          <w:numId w:val="57"/>
        </w:numPr>
        <w:spacing w:after="240"/>
      </w:pPr>
      <w:r>
        <w:t xml:space="preserve">For the Procurement of original works of art. viii. For the Procurement of subscriptions to newspapers, </w:t>
      </w:r>
      <w:proofErr w:type="gramStart"/>
      <w:r>
        <w:t>magazines</w:t>
      </w:r>
      <w:proofErr w:type="gramEnd"/>
      <w:r>
        <w:t xml:space="preserve"> or other periodicals. </w:t>
      </w:r>
    </w:p>
    <w:p w14:paraId="656D737B" w14:textId="6CCAACD6" w:rsidR="00161CE6" w:rsidRDefault="00E009E8" w:rsidP="00D255AC">
      <w:pPr>
        <w:pStyle w:val="ListParagraph"/>
        <w:numPr>
          <w:ilvl w:val="0"/>
          <w:numId w:val="57"/>
        </w:numPr>
        <w:spacing w:after="240"/>
      </w:pPr>
      <w:r>
        <w:t>For the purchase of real property.</w:t>
      </w:r>
    </w:p>
    <w:p w14:paraId="3E5A34AF" w14:textId="77777777" w:rsidR="00AE3402" w:rsidRDefault="00AE3402" w:rsidP="00AE3402">
      <w:pPr>
        <w:spacing w:after="240"/>
      </w:pPr>
    </w:p>
    <w:p w14:paraId="79E954CA" w14:textId="77777777" w:rsidR="00BC62B7" w:rsidRDefault="00BC62B7" w:rsidP="00AE3402">
      <w:pPr>
        <w:spacing w:after="240"/>
        <w:sectPr w:rsidR="00BC62B7" w:rsidSect="00912C8D">
          <w:headerReference w:type="default" r:id="rId15"/>
          <w:footerReference w:type="default" r:id="rId16"/>
          <w:footerReference w:type="first" r:id="rId17"/>
          <w:pgSz w:w="12240" w:h="15840"/>
          <w:pgMar w:top="1440" w:right="1440" w:bottom="1440" w:left="1440" w:header="308" w:footer="340" w:gutter="0"/>
          <w:cols w:space="708"/>
          <w:titlePg/>
          <w:docGrid w:linePitch="360"/>
        </w:sectPr>
      </w:pPr>
    </w:p>
    <w:p w14:paraId="05481615" w14:textId="77777777" w:rsidR="00AE3402" w:rsidRDefault="00AE3402" w:rsidP="00AE3402">
      <w:pPr>
        <w:spacing w:after="240"/>
      </w:pPr>
    </w:p>
    <w:p w14:paraId="423F87CF" w14:textId="77777777" w:rsidR="00577016" w:rsidRDefault="00577016" w:rsidP="00264B5C"/>
    <w:p w14:paraId="4486820A" w14:textId="2B9C88FF" w:rsidR="00CD1A04" w:rsidRPr="000202DB" w:rsidRDefault="001A3AC7" w:rsidP="003A1AC7">
      <w:pPr>
        <w:pStyle w:val="Heading1"/>
      </w:pPr>
      <w:bookmarkStart w:id="43" w:name="_Toc140237062"/>
      <w:bookmarkEnd w:id="43"/>
      <w:r>
        <w:br w:type="page"/>
      </w:r>
      <w:bookmarkStart w:id="44" w:name="_Toc174975058"/>
      <w:r w:rsidR="008D1DC8" w:rsidRPr="000202DB">
        <w:lastRenderedPageBreak/>
        <w:t>APPENDICES</w:t>
      </w:r>
      <w:bookmarkStart w:id="45" w:name="_Toc82601594"/>
      <w:bookmarkEnd w:id="42"/>
      <w:bookmarkEnd w:id="44"/>
    </w:p>
    <w:p w14:paraId="77378322" w14:textId="099309ED" w:rsidR="00CD1A04" w:rsidRPr="000202DB" w:rsidRDefault="00711E24" w:rsidP="00D255AC">
      <w:pPr>
        <w:pStyle w:val="Heading2A"/>
        <w:numPr>
          <w:ilvl w:val="0"/>
          <w:numId w:val="59"/>
        </w:numPr>
      </w:pPr>
      <w:bookmarkStart w:id="46" w:name="_Appendix_A:_Weighted"/>
      <w:bookmarkStart w:id="47" w:name="_Toc174975059"/>
      <w:bookmarkEnd w:id="46"/>
      <w:r>
        <w:t xml:space="preserve"> </w:t>
      </w:r>
      <w:r w:rsidR="00CD1A04" w:rsidRPr="000202DB">
        <w:t>Weighted domestic criteria</w:t>
      </w:r>
      <w:bookmarkEnd w:id="47"/>
    </w:p>
    <w:p w14:paraId="134379AF" w14:textId="6287DFC2" w:rsidR="003A6502" w:rsidRPr="000202DB" w:rsidRDefault="003A6502" w:rsidP="00BC679E">
      <w:pPr>
        <w:spacing w:after="240" w:line="240" w:lineRule="auto"/>
      </w:pPr>
      <w:r w:rsidRPr="000202DB">
        <w:t xml:space="preserve">The Inclusion of any weighted domestic criteria </w:t>
      </w:r>
      <w:r w:rsidR="001D47B3" w:rsidRPr="000202DB">
        <w:t xml:space="preserve">is procurement specific and </w:t>
      </w:r>
      <w:r w:rsidRPr="000202DB">
        <w:t xml:space="preserve">should reflect knowledge of the </w:t>
      </w:r>
      <w:r w:rsidR="009063A2" w:rsidRPr="000202DB">
        <w:t>marketplace</w:t>
      </w:r>
      <w:r w:rsidRPr="000202DB">
        <w:t xml:space="preserve">, key </w:t>
      </w:r>
      <w:r w:rsidR="001D47B3" w:rsidRPr="000202DB">
        <w:t>vendors</w:t>
      </w:r>
      <w:r w:rsidRPr="000202DB">
        <w:t xml:space="preserve">, </w:t>
      </w:r>
      <w:r w:rsidR="0875BCC1">
        <w:t xml:space="preserve">risk mitigation strategies, </w:t>
      </w:r>
      <w:r w:rsidRPr="000202DB">
        <w:t xml:space="preserve">and availability of </w:t>
      </w:r>
      <w:r w:rsidR="009063A2" w:rsidRPr="000202DB">
        <w:t>vendor</w:t>
      </w:r>
      <w:r w:rsidRPr="000202DB">
        <w:t xml:space="preserve">s to support </w:t>
      </w:r>
      <w:r w:rsidR="00D6662F">
        <w:t>the</w:t>
      </w:r>
      <w:r w:rsidRPr="000202DB">
        <w:t xml:space="preserve"> procurement requirements: </w:t>
      </w:r>
    </w:p>
    <w:p w14:paraId="1E9FE4C0" w14:textId="68B1084F" w:rsidR="003A6502" w:rsidRPr="00204DBE" w:rsidRDefault="00A11F28" w:rsidP="00D255AC">
      <w:pPr>
        <w:pStyle w:val="ListParagraph"/>
        <w:numPr>
          <w:ilvl w:val="0"/>
          <w:numId w:val="33"/>
        </w:numPr>
        <w:spacing w:before="120" w:after="240"/>
        <w:ind w:left="360"/>
        <w:contextualSpacing w:val="0"/>
        <w:rPr>
          <w:rFonts w:cs="Arial"/>
          <w:szCs w:val="24"/>
        </w:rPr>
      </w:pPr>
      <w:r w:rsidRPr="00204DBE">
        <w:rPr>
          <w:rFonts w:cs="Arial"/>
          <w:szCs w:val="24"/>
        </w:rPr>
        <w:t>W</w:t>
      </w:r>
      <w:r w:rsidR="003A6502" w:rsidRPr="00204DBE">
        <w:rPr>
          <w:rFonts w:cs="Arial"/>
          <w:szCs w:val="24"/>
        </w:rPr>
        <w:t>hen to use domestic criteria (</w:t>
      </w:r>
      <w:r w:rsidR="00246E67" w:rsidRPr="00204DBE">
        <w:rPr>
          <w:rFonts w:cs="Arial"/>
          <w:szCs w:val="24"/>
        </w:rPr>
        <w:t>e.g.,</w:t>
      </w:r>
      <w:r w:rsidR="003A6502" w:rsidRPr="00204DBE">
        <w:rPr>
          <w:rFonts w:cs="Arial"/>
          <w:szCs w:val="24"/>
        </w:rPr>
        <w:t xml:space="preserve"> did </w:t>
      </w:r>
      <w:r w:rsidR="00D6662F" w:rsidRPr="00204DBE">
        <w:rPr>
          <w:rFonts w:cs="Arial"/>
          <w:szCs w:val="24"/>
        </w:rPr>
        <w:t xml:space="preserve">the </w:t>
      </w:r>
      <w:r w:rsidR="003A6502" w:rsidRPr="00204DBE">
        <w:rPr>
          <w:rFonts w:cs="Arial"/>
          <w:szCs w:val="24"/>
        </w:rPr>
        <w:t xml:space="preserve">market research identify that there are Ontario businesses that can provide the service/good that </w:t>
      </w:r>
      <w:r w:rsidR="002A6D0F" w:rsidRPr="00204DBE">
        <w:rPr>
          <w:rFonts w:cs="Arial"/>
          <w:szCs w:val="24"/>
        </w:rPr>
        <w:t>is being</w:t>
      </w:r>
      <w:r w:rsidR="003A6502" w:rsidRPr="00204DBE">
        <w:rPr>
          <w:rFonts w:cs="Arial"/>
          <w:szCs w:val="24"/>
        </w:rPr>
        <w:t xml:space="preserve"> acquire</w:t>
      </w:r>
      <w:r w:rsidR="002A6D0F" w:rsidRPr="00204DBE">
        <w:rPr>
          <w:rFonts w:cs="Arial"/>
          <w:szCs w:val="24"/>
        </w:rPr>
        <w:t>d</w:t>
      </w:r>
      <w:r w:rsidR="0EB34903" w:rsidRPr="00204DBE">
        <w:rPr>
          <w:rFonts w:cs="Arial"/>
          <w:szCs w:val="24"/>
        </w:rPr>
        <w:t>?</w:t>
      </w:r>
      <w:r w:rsidR="00F91959" w:rsidRPr="00204DBE">
        <w:rPr>
          <w:rFonts w:cs="Arial"/>
          <w:szCs w:val="24"/>
        </w:rPr>
        <w:t>).</w:t>
      </w:r>
    </w:p>
    <w:p w14:paraId="771759BC" w14:textId="373CE52D" w:rsidR="003A6502" w:rsidRPr="00204DBE" w:rsidRDefault="00DD786C" w:rsidP="00D255AC">
      <w:pPr>
        <w:pStyle w:val="ListParagraph"/>
        <w:numPr>
          <w:ilvl w:val="0"/>
          <w:numId w:val="33"/>
        </w:numPr>
        <w:spacing w:before="120" w:after="240"/>
        <w:ind w:left="360"/>
        <w:contextualSpacing w:val="0"/>
        <w:rPr>
          <w:rFonts w:cs="Arial"/>
          <w:szCs w:val="24"/>
        </w:rPr>
      </w:pPr>
      <w:r w:rsidRPr="00204DBE">
        <w:rPr>
          <w:rFonts w:cs="Arial"/>
          <w:szCs w:val="24"/>
        </w:rPr>
        <w:t>W</w:t>
      </w:r>
      <w:r w:rsidR="28AC78F0" w:rsidRPr="00204DBE">
        <w:rPr>
          <w:rFonts w:cs="Arial"/>
          <w:szCs w:val="24"/>
        </w:rPr>
        <w:t>hich domestic criteria would be appropriate (</w:t>
      </w:r>
      <w:r w:rsidR="02030E05" w:rsidRPr="00204DBE">
        <w:rPr>
          <w:rFonts w:cs="Arial"/>
          <w:szCs w:val="24"/>
        </w:rPr>
        <w:t>e.g.,</w:t>
      </w:r>
      <w:r w:rsidR="28AC78F0" w:rsidRPr="00204DBE">
        <w:rPr>
          <w:rFonts w:cs="Arial"/>
          <w:szCs w:val="24"/>
        </w:rPr>
        <w:t xml:space="preserve"> is the market environment similar across jurisdiction</w:t>
      </w:r>
      <w:r w:rsidR="630FB85A" w:rsidRPr="00204DBE">
        <w:rPr>
          <w:rFonts w:cs="Arial"/>
          <w:szCs w:val="24"/>
        </w:rPr>
        <w:t>s</w:t>
      </w:r>
      <w:r w:rsidR="28AC78F0" w:rsidRPr="00204DBE">
        <w:rPr>
          <w:rFonts w:cs="Arial"/>
          <w:szCs w:val="24"/>
        </w:rPr>
        <w:t xml:space="preserve"> or do Ontario supplier</w:t>
      </w:r>
      <w:r w:rsidR="630FB85A" w:rsidRPr="00204DBE">
        <w:rPr>
          <w:rFonts w:cs="Arial"/>
          <w:szCs w:val="24"/>
        </w:rPr>
        <w:t>s</w:t>
      </w:r>
      <w:r w:rsidR="28AC78F0" w:rsidRPr="00204DBE">
        <w:rPr>
          <w:rFonts w:cs="Arial"/>
          <w:szCs w:val="24"/>
        </w:rPr>
        <w:t xml:space="preserve"> have regulations</w:t>
      </w:r>
      <w:r w:rsidR="000138CC" w:rsidRPr="00204DBE">
        <w:rPr>
          <w:rFonts w:cs="Arial"/>
          <w:szCs w:val="24"/>
        </w:rPr>
        <w:t xml:space="preserve"> that need to be met</w:t>
      </w:r>
      <w:r w:rsidR="28AC78F0" w:rsidRPr="00204DBE">
        <w:rPr>
          <w:rFonts w:cs="Arial"/>
          <w:szCs w:val="24"/>
        </w:rPr>
        <w:t xml:space="preserve"> </w:t>
      </w:r>
      <w:r w:rsidR="00BA4B76" w:rsidRPr="00204DBE">
        <w:rPr>
          <w:rFonts w:cs="Arial"/>
          <w:szCs w:val="24"/>
        </w:rPr>
        <w:t>that other jurisdiction</w:t>
      </w:r>
      <w:r w:rsidR="28AC78F0" w:rsidRPr="00204DBE">
        <w:rPr>
          <w:rFonts w:cs="Arial"/>
          <w:szCs w:val="24"/>
        </w:rPr>
        <w:t xml:space="preserve"> do not have</w:t>
      </w:r>
      <w:r w:rsidR="50BCF5D4" w:rsidRPr="00204DBE">
        <w:rPr>
          <w:rFonts w:cs="Arial"/>
          <w:szCs w:val="24"/>
        </w:rPr>
        <w:t>?</w:t>
      </w:r>
      <w:r w:rsidR="5262A3EC" w:rsidRPr="00204DBE">
        <w:rPr>
          <w:rFonts w:cs="Arial"/>
          <w:szCs w:val="24"/>
        </w:rPr>
        <w:t>);</w:t>
      </w:r>
      <w:r w:rsidR="02DEDF10" w:rsidRPr="00204DBE">
        <w:rPr>
          <w:rFonts w:cs="Arial"/>
          <w:szCs w:val="24"/>
        </w:rPr>
        <w:t xml:space="preserve"> </w:t>
      </w:r>
      <w:r w:rsidR="00943AD5" w:rsidRPr="00204DBE">
        <w:rPr>
          <w:rFonts w:cs="Arial"/>
          <w:szCs w:val="24"/>
        </w:rPr>
        <w:t>and</w:t>
      </w:r>
    </w:p>
    <w:p w14:paraId="46E178A4" w14:textId="7FD5C51F" w:rsidR="000C114C" w:rsidRPr="00204DBE" w:rsidRDefault="00E84413" w:rsidP="00D255AC">
      <w:pPr>
        <w:pStyle w:val="ListParagraph"/>
        <w:numPr>
          <w:ilvl w:val="0"/>
          <w:numId w:val="33"/>
        </w:numPr>
        <w:spacing w:before="120" w:after="240"/>
        <w:ind w:left="360"/>
        <w:contextualSpacing w:val="0"/>
        <w:rPr>
          <w:rFonts w:cs="Arial"/>
          <w:szCs w:val="24"/>
        </w:rPr>
      </w:pPr>
      <w:r w:rsidRPr="00204DBE">
        <w:rPr>
          <w:rFonts w:cs="Arial"/>
          <w:szCs w:val="24"/>
        </w:rPr>
        <w:t>W</w:t>
      </w:r>
      <w:r w:rsidR="28AC78F0" w:rsidRPr="00204DBE">
        <w:rPr>
          <w:rFonts w:cs="Arial"/>
          <w:szCs w:val="24"/>
        </w:rPr>
        <w:t>eighting of the selected domestic criteria (</w:t>
      </w:r>
      <w:r w:rsidR="507C0226" w:rsidRPr="00204DBE">
        <w:rPr>
          <w:rFonts w:cs="Arial"/>
          <w:szCs w:val="24"/>
        </w:rPr>
        <w:t>e.g.,</w:t>
      </w:r>
      <w:r w:rsidR="28AC78F0" w:rsidRPr="00204DBE">
        <w:rPr>
          <w:rFonts w:cs="Arial"/>
          <w:szCs w:val="24"/>
        </w:rPr>
        <w:t xml:space="preserve"> understanding of the competitive nature of the market</w:t>
      </w:r>
      <w:r w:rsidR="00275FDD" w:rsidRPr="00204DBE">
        <w:rPr>
          <w:rFonts w:cs="Arial"/>
          <w:szCs w:val="24"/>
        </w:rPr>
        <w:t>).</w:t>
      </w:r>
      <w:r w:rsidR="28AC78F0" w:rsidRPr="00204DBE">
        <w:rPr>
          <w:rFonts w:cs="Arial"/>
          <w:szCs w:val="24"/>
        </w:rPr>
        <w:t xml:space="preserve"> </w:t>
      </w:r>
      <w:r w:rsidR="002A6D0F" w:rsidRPr="00204DBE">
        <w:rPr>
          <w:rFonts w:cs="Arial"/>
          <w:szCs w:val="24"/>
        </w:rPr>
        <w:t>Is the buyer</w:t>
      </w:r>
      <w:r w:rsidR="28AC78F0" w:rsidRPr="00204DBE">
        <w:rPr>
          <w:rFonts w:cs="Arial"/>
          <w:szCs w:val="24"/>
        </w:rPr>
        <w:t xml:space="preserve"> able to get the supplier that </w:t>
      </w:r>
      <w:r w:rsidR="002A6D0F" w:rsidRPr="00204DBE">
        <w:rPr>
          <w:rFonts w:cs="Arial"/>
          <w:szCs w:val="24"/>
        </w:rPr>
        <w:t>is</w:t>
      </w:r>
      <w:r w:rsidR="28AC78F0" w:rsidRPr="00204DBE">
        <w:rPr>
          <w:rFonts w:cs="Arial"/>
          <w:szCs w:val="24"/>
        </w:rPr>
        <w:t xml:space="preserve"> </w:t>
      </w:r>
      <w:r w:rsidR="00B32DDF" w:rsidRPr="00204DBE">
        <w:rPr>
          <w:rFonts w:cs="Arial"/>
          <w:szCs w:val="24"/>
        </w:rPr>
        <w:t>needed</w:t>
      </w:r>
      <w:r w:rsidR="28AC78F0" w:rsidRPr="00204DBE">
        <w:rPr>
          <w:rFonts w:cs="Arial"/>
          <w:szCs w:val="24"/>
        </w:rPr>
        <w:t xml:space="preserve"> to provide </w:t>
      </w:r>
      <w:r w:rsidR="002A6D0F" w:rsidRPr="00204DBE">
        <w:rPr>
          <w:rFonts w:cs="Arial"/>
          <w:szCs w:val="24"/>
        </w:rPr>
        <w:t xml:space="preserve">the </w:t>
      </w:r>
      <w:r w:rsidR="28AC78F0" w:rsidRPr="00204DBE">
        <w:rPr>
          <w:rFonts w:cs="Arial"/>
          <w:szCs w:val="24"/>
        </w:rPr>
        <w:t xml:space="preserve">requirements? Is it </w:t>
      </w:r>
      <w:r w:rsidR="055B258E" w:rsidRPr="00204DBE">
        <w:rPr>
          <w:rFonts w:cs="Arial"/>
          <w:szCs w:val="24"/>
        </w:rPr>
        <w:t>a</w:t>
      </w:r>
      <w:r w:rsidR="6AFBF40E" w:rsidRPr="00204DBE">
        <w:rPr>
          <w:rFonts w:cs="Arial"/>
          <w:szCs w:val="24"/>
        </w:rPr>
        <w:t xml:space="preserve"> </w:t>
      </w:r>
      <w:r w:rsidR="28AC78F0" w:rsidRPr="00204DBE">
        <w:rPr>
          <w:rFonts w:cs="Arial"/>
          <w:szCs w:val="24"/>
        </w:rPr>
        <w:t>price driven market</w:t>
      </w:r>
      <w:r w:rsidR="0045216F" w:rsidRPr="00204DBE">
        <w:rPr>
          <w:rFonts w:cs="Arial"/>
          <w:szCs w:val="24"/>
        </w:rPr>
        <w:t>;</w:t>
      </w:r>
      <w:r w:rsidR="28AC78F0" w:rsidRPr="00204DBE">
        <w:rPr>
          <w:rFonts w:cs="Arial"/>
          <w:szCs w:val="24"/>
        </w:rPr>
        <w:t xml:space="preserve"> </w:t>
      </w:r>
      <w:r w:rsidR="00835F2F" w:rsidRPr="00204DBE">
        <w:rPr>
          <w:rFonts w:cs="Arial"/>
          <w:szCs w:val="24"/>
        </w:rPr>
        <w:t xml:space="preserve">is it </w:t>
      </w:r>
      <w:r w:rsidR="28AC78F0" w:rsidRPr="00204DBE">
        <w:rPr>
          <w:rFonts w:cs="Arial"/>
          <w:szCs w:val="24"/>
        </w:rPr>
        <w:t xml:space="preserve">the complexity of the </w:t>
      </w:r>
      <w:r w:rsidR="4158B198" w:rsidRPr="00204DBE">
        <w:rPr>
          <w:rFonts w:cs="Arial"/>
          <w:szCs w:val="24"/>
        </w:rPr>
        <w:t>procurement</w:t>
      </w:r>
      <w:r w:rsidR="5F4F23D0" w:rsidRPr="00204DBE">
        <w:rPr>
          <w:rFonts w:cs="Arial"/>
          <w:szCs w:val="24"/>
        </w:rPr>
        <w:t>?</w:t>
      </w:r>
      <w:r w:rsidR="77ED5FFB" w:rsidRPr="00204DBE">
        <w:rPr>
          <w:rFonts w:cs="Arial"/>
          <w:szCs w:val="24"/>
        </w:rPr>
        <w:t xml:space="preserve"> </w:t>
      </w:r>
    </w:p>
    <w:p w14:paraId="55DA8625" w14:textId="0A0D370B" w:rsidR="003A6502" w:rsidRPr="00204DBE" w:rsidRDefault="77ED5FFB" w:rsidP="00D255AC">
      <w:pPr>
        <w:pStyle w:val="ListParagraph"/>
        <w:numPr>
          <w:ilvl w:val="0"/>
          <w:numId w:val="33"/>
        </w:numPr>
        <w:spacing w:before="120" w:after="240"/>
        <w:ind w:left="360"/>
        <w:contextualSpacing w:val="0"/>
        <w:rPr>
          <w:rFonts w:cs="Arial"/>
          <w:szCs w:val="24"/>
        </w:rPr>
      </w:pPr>
      <w:r w:rsidRPr="00204DBE">
        <w:rPr>
          <w:rFonts w:cs="Arial"/>
          <w:szCs w:val="24"/>
        </w:rPr>
        <w:t xml:space="preserve">Are </w:t>
      </w:r>
      <w:r w:rsidR="002A6D0F" w:rsidRPr="00204DBE">
        <w:rPr>
          <w:rFonts w:cs="Arial"/>
          <w:szCs w:val="24"/>
        </w:rPr>
        <w:t>buyers</w:t>
      </w:r>
      <w:r w:rsidR="203983BA" w:rsidRPr="00204DBE">
        <w:rPr>
          <w:rFonts w:cs="Arial"/>
          <w:szCs w:val="24"/>
        </w:rPr>
        <w:t xml:space="preserve"> </w:t>
      </w:r>
      <w:r w:rsidR="63049B18" w:rsidRPr="00204DBE">
        <w:rPr>
          <w:rFonts w:cs="Arial"/>
          <w:szCs w:val="24"/>
        </w:rPr>
        <w:t xml:space="preserve">managing risks </w:t>
      </w:r>
      <w:r w:rsidR="0E67BFA1" w:rsidRPr="00204DBE">
        <w:rPr>
          <w:rFonts w:cs="Arial"/>
          <w:szCs w:val="24"/>
        </w:rPr>
        <w:t>with</w:t>
      </w:r>
      <w:r w:rsidR="63049B18" w:rsidRPr="00204DBE">
        <w:rPr>
          <w:rFonts w:cs="Arial"/>
          <w:szCs w:val="24"/>
        </w:rPr>
        <w:t xml:space="preserve"> the </w:t>
      </w:r>
      <w:r w:rsidR="203983BA" w:rsidRPr="00204DBE">
        <w:rPr>
          <w:rFonts w:cs="Arial"/>
          <w:szCs w:val="24"/>
        </w:rPr>
        <w:t>selected domestic criteria</w:t>
      </w:r>
      <w:r w:rsidR="2FF8A985" w:rsidRPr="00204DBE">
        <w:rPr>
          <w:rFonts w:cs="Arial"/>
          <w:szCs w:val="24"/>
        </w:rPr>
        <w:t>?</w:t>
      </w:r>
    </w:p>
    <w:p w14:paraId="561E34B0" w14:textId="298209A7" w:rsidR="00272E09" w:rsidRPr="00204DBE" w:rsidRDefault="008F669B" w:rsidP="00D255AC">
      <w:pPr>
        <w:pStyle w:val="ListParagraph"/>
        <w:numPr>
          <w:ilvl w:val="0"/>
          <w:numId w:val="33"/>
        </w:numPr>
        <w:spacing w:before="120" w:after="240"/>
        <w:ind w:left="360"/>
        <w:contextualSpacing w:val="0"/>
        <w:rPr>
          <w:rFonts w:cs="Arial"/>
          <w:szCs w:val="24"/>
        </w:rPr>
      </w:pPr>
      <w:r w:rsidRPr="00204DBE">
        <w:rPr>
          <w:rFonts w:cs="Arial"/>
          <w:szCs w:val="24"/>
        </w:rPr>
        <w:t>Public sector buyers must c</w:t>
      </w:r>
      <w:r w:rsidR="4158B198" w:rsidRPr="00204DBE">
        <w:rPr>
          <w:rFonts w:cs="Arial"/>
          <w:szCs w:val="24"/>
        </w:rPr>
        <w:t>onsult with</w:t>
      </w:r>
      <w:r w:rsidR="28AC78F0" w:rsidRPr="00204DBE">
        <w:rPr>
          <w:rFonts w:cs="Arial"/>
          <w:szCs w:val="24"/>
        </w:rPr>
        <w:t xml:space="preserve"> </w:t>
      </w:r>
      <w:r w:rsidR="00C73C37" w:rsidRPr="00204DBE">
        <w:rPr>
          <w:rFonts w:cs="Arial"/>
          <w:szCs w:val="24"/>
        </w:rPr>
        <w:t xml:space="preserve">appropriate advisors such as, </w:t>
      </w:r>
      <w:r w:rsidR="6FD94DDD" w:rsidRPr="00204DBE">
        <w:rPr>
          <w:rFonts w:cs="Arial"/>
          <w:szCs w:val="24"/>
        </w:rPr>
        <w:t xml:space="preserve">business, </w:t>
      </w:r>
      <w:r w:rsidR="00F82C4B" w:rsidRPr="00204DBE">
        <w:rPr>
          <w:rFonts w:cs="Arial"/>
          <w:szCs w:val="24"/>
        </w:rPr>
        <w:t>policy,</w:t>
      </w:r>
      <w:r w:rsidR="6FD94DDD" w:rsidRPr="00204DBE">
        <w:rPr>
          <w:rFonts w:cs="Arial"/>
          <w:szCs w:val="24"/>
        </w:rPr>
        <w:t xml:space="preserve"> and legal </w:t>
      </w:r>
      <w:r w:rsidR="00C73C37" w:rsidRPr="00204DBE">
        <w:rPr>
          <w:rFonts w:cs="Arial"/>
          <w:szCs w:val="24"/>
        </w:rPr>
        <w:t>advisors</w:t>
      </w:r>
      <w:r w:rsidR="00E1171D" w:rsidRPr="00204DBE">
        <w:rPr>
          <w:rFonts w:cs="Arial"/>
          <w:szCs w:val="24"/>
        </w:rPr>
        <w:t xml:space="preserve"> (including trade </w:t>
      </w:r>
      <w:r w:rsidR="007772D2" w:rsidRPr="00204DBE">
        <w:rPr>
          <w:rFonts w:cs="Arial"/>
          <w:szCs w:val="24"/>
        </w:rPr>
        <w:t xml:space="preserve">lawyers) </w:t>
      </w:r>
      <w:r w:rsidR="022C6267" w:rsidRPr="00204DBE">
        <w:rPr>
          <w:rFonts w:cs="Arial"/>
          <w:szCs w:val="24"/>
        </w:rPr>
        <w:t>for</w:t>
      </w:r>
      <w:r w:rsidR="28AC78F0" w:rsidRPr="00204DBE">
        <w:rPr>
          <w:rFonts w:cs="Arial"/>
          <w:szCs w:val="24"/>
        </w:rPr>
        <w:t xml:space="preserve"> risks related to evaluat</w:t>
      </w:r>
      <w:r w:rsidR="00206A59" w:rsidRPr="00204DBE">
        <w:rPr>
          <w:rFonts w:cs="Arial"/>
          <w:szCs w:val="24"/>
        </w:rPr>
        <w:t>ion</w:t>
      </w:r>
      <w:r w:rsidR="28AC78F0" w:rsidRPr="00204DBE">
        <w:rPr>
          <w:rFonts w:cs="Arial"/>
          <w:szCs w:val="24"/>
        </w:rPr>
        <w:t xml:space="preserve"> criteria</w:t>
      </w:r>
      <w:r w:rsidR="00F42C0B" w:rsidRPr="00204DBE">
        <w:rPr>
          <w:rFonts w:cs="Arial"/>
          <w:szCs w:val="24"/>
        </w:rPr>
        <w:t>.</w:t>
      </w:r>
      <w:r w:rsidR="0067523A" w:rsidRPr="00204DBE">
        <w:rPr>
          <w:rFonts w:cs="Arial"/>
          <w:szCs w:val="24"/>
        </w:rPr>
        <w:t xml:space="preserve"> A</w:t>
      </w:r>
      <w:r w:rsidR="00F42C0B" w:rsidRPr="00204DBE">
        <w:rPr>
          <w:rFonts w:cs="Arial"/>
          <w:szCs w:val="24"/>
        </w:rPr>
        <w:t xml:space="preserve">s per the standard </w:t>
      </w:r>
      <w:r w:rsidR="0067523A" w:rsidRPr="00204DBE">
        <w:rPr>
          <w:rFonts w:cs="Arial"/>
          <w:szCs w:val="24"/>
        </w:rPr>
        <w:t>process</w:t>
      </w:r>
      <w:r w:rsidR="00F82C4B" w:rsidRPr="00204DBE">
        <w:rPr>
          <w:rFonts w:cs="Arial"/>
          <w:szCs w:val="24"/>
        </w:rPr>
        <w:t>, public sector buyers must</w:t>
      </w:r>
      <w:r w:rsidR="0067523A" w:rsidRPr="00204DBE">
        <w:rPr>
          <w:rFonts w:cs="Arial"/>
          <w:szCs w:val="24"/>
        </w:rPr>
        <w:t xml:space="preserve"> </w:t>
      </w:r>
      <w:r w:rsidR="4158B198" w:rsidRPr="00204DBE">
        <w:rPr>
          <w:rFonts w:cs="Arial"/>
          <w:szCs w:val="24"/>
        </w:rPr>
        <w:t>obtain appropriate approvals.</w:t>
      </w:r>
      <w:r w:rsidR="4024BEB3" w:rsidRPr="00204DBE">
        <w:rPr>
          <w:rFonts w:cs="Arial"/>
          <w:szCs w:val="24"/>
        </w:rPr>
        <w:t xml:space="preserve"> It is also import</w:t>
      </w:r>
      <w:r w:rsidR="71E1CD66" w:rsidRPr="00204DBE">
        <w:rPr>
          <w:rFonts w:cs="Arial"/>
          <w:szCs w:val="24"/>
        </w:rPr>
        <w:t>ant</w:t>
      </w:r>
      <w:r w:rsidR="4024BEB3" w:rsidRPr="00204DBE">
        <w:rPr>
          <w:rFonts w:cs="Arial"/>
          <w:szCs w:val="24"/>
        </w:rPr>
        <w:t xml:space="preserve"> to ensure that sufficient research ha</w:t>
      </w:r>
      <w:r w:rsidR="5F4F23D0" w:rsidRPr="00204DBE">
        <w:rPr>
          <w:rFonts w:cs="Arial"/>
          <w:szCs w:val="24"/>
        </w:rPr>
        <w:t>s</w:t>
      </w:r>
      <w:r w:rsidR="4024BEB3" w:rsidRPr="00204DBE">
        <w:rPr>
          <w:rFonts w:cs="Arial"/>
          <w:szCs w:val="24"/>
        </w:rPr>
        <w:t xml:space="preserve"> been conducted to identify the appro</w:t>
      </w:r>
      <w:r w:rsidR="078C975B" w:rsidRPr="00204DBE">
        <w:rPr>
          <w:rFonts w:cs="Arial"/>
          <w:szCs w:val="24"/>
        </w:rPr>
        <w:t xml:space="preserve">priate weighted domestic criteria, </w:t>
      </w:r>
      <w:r w:rsidR="5F4F23D0" w:rsidRPr="00204DBE">
        <w:rPr>
          <w:rFonts w:cs="Arial"/>
          <w:szCs w:val="24"/>
        </w:rPr>
        <w:t xml:space="preserve">and </w:t>
      </w:r>
      <w:r w:rsidR="078C975B" w:rsidRPr="00204DBE">
        <w:rPr>
          <w:rFonts w:cs="Arial"/>
          <w:szCs w:val="24"/>
        </w:rPr>
        <w:t>relevant su</w:t>
      </w:r>
      <w:r w:rsidR="2516A46D" w:rsidRPr="00204DBE">
        <w:rPr>
          <w:rFonts w:cs="Arial"/>
          <w:szCs w:val="24"/>
        </w:rPr>
        <w:t>bject matter experts (</w:t>
      </w:r>
      <w:r w:rsidR="00F81501" w:rsidRPr="00204DBE">
        <w:rPr>
          <w:rFonts w:cs="Arial"/>
          <w:szCs w:val="24"/>
        </w:rPr>
        <w:t>e.g.,</w:t>
      </w:r>
      <w:r w:rsidR="2516A46D" w:rsidRPr="00204DBE">
        <w:rPr>
          <w:rFonts w:cs="Arial"/>
          <w:szCs w:val="24"/>
        </w:rPr>
        <w:t xml:space="preserve"> environmental standards or labour laws)</w:t>
      </w:r>
      <w:r w:rsidR="5F4F23D0" w:rsidRPr="00204DBE">
        <w:rPr>
          <w:rFonts w:cs="Arial"/>
          <w:szCs w:val="24"/>
        </w:rPr>
        <w:t xml:space="preserve"> have been consulted</w:t>
      </w:r>
      <w:r w:rsidR="2516A46D" w:rsidRPr="00204DBE">
        <w:rPr>
          <w:rFonts w:cs="Arial"/>
          <w:szCs w:val="24"/>
        </w:rPr>
        <w:t>.</w:t>
      </w:r>
      <w:r w:rsidR="00206A59" w:rsidRPr="00204DBE">
        <w:rPr>
          <w:rFonts w:cs="Arial"/>
          <w:szCs w:val="24"/>
        </w:rPr>
        <w:t xml:space="preserve"> See the examples below which are not exhaustive lists.</w:t>
      </w:r>
    </w:p>
    <w:p w14:paraId="6E075DD2" w14:textId="77777777" w:rsidR="006F616E" w:rsidRDefault="006F616E">
      <w:pPr>
        <w:spacing w:before="0" w:line="259" w:lineRule="auto"/>
        <w:rPr>
          <w:rFonts w:eastAsiaTheme="majorEastAsia" w:cstheme="majorBidi"/>
          <w:b/>
          <w:bCs/>
          <w:smallCaps/>
          <w:color w:val="006E81" w:themeColor="text2"/>
          <w:sz w:val="32"/>
          <w:szCs w:val="28"/>
        </w:rPr>
      </w:pPr>
      <w:r>
        <w:br w:type="page"/>
      </w:r>
    </w:p>
    <w:p w14:paraId="14A5D8DA" w14:textId="20056226" w:rsidR="00822005" w:rsidRDefault="00711E24" w:rsidP="00D255AC">
      <w:pPr>
        <w:pStyle w:val="Heading2A"/>
        <w:numPr>
          <w:ilvl w:val="0"/>
          <w:numId w:val="59"/>
        </w:numPr>
      </w:pPr>
      <w:bookmarkStart w:id="48" w:name="_Toc174975060"/>
      <w:r>
        <w:lastRenderedPageBreak/>
        <w:t xml:space="preserve"> </w:t>
      </w:r>
      <w:r w:rsidR="00822005">
        <w:t xml:space="preserve">Examples of </w:t>
      </w:r>
      <w:r w:rsidR="00822005" w:rsidRPr="000202DB">
        <w:t>Weighted domestic criteria</w:t>
      </w:r>
      <w:bookmarkEnd w:id="48"/>
    </w:p>
    <w:p w14:paraId="7ADA7BB2" w14:textId="586DE078" w:rsidR="00BF22E4" w:rsidRDefault="005F0DFF" w:rsidP="00BF22E4">
      <w:r w:rsidRPr="00325C03">
        <w:rPr>
          <w:b/>
          <w:bCs/>
        </w:rPr>
        <w:t>Note</w:t>
      </w:r>
      <w:r>
        <w:t xml:space="preserve">: </w:t>
      </w:r>
      <w:r w:rsidR="0010754E">
        <w:t>w</w:t>
      </w:r>
      <w:r w:rsidR="00416235">
        <w:t xml:space="preserve">hen using any of the following </w:t>
      </w:r>
      <w:r w:rsidR="0015566C">
        <w:t xml:space="preserve">weighted </w:t>
      </w:r>
      <w:r w:rsidR="006F4943">
        <w:t>domestic</w:t>
      </w:r>
      <w:r w:rsidR="00416235">
        <w:t xml:space="preserve"> crite</w:t>
      </w:r>
      <w:r w:rsidR="0015566C">
        <w:t xml:space="preserve">rial, </w:t>
      </w:r>
      <w:r w:rsidR="008F4AE1">
        <w:t>th</w:t>
      </w:r>
      <w:r w:rsidR="00D3772B">
        <w:t xml:space="preserve">e </w:t>
      </w:r>
      <w:r w:rsidR="0015566C">
        <w:t xml:space="preserve">maximum </w:t>
      </w:r>
      <w:r w:rsidR="00D3772B">
        <w:t xml:space="preserve">weight that is assigned should be no more than </w:t>
      </w:r>
      <w:r w:rsidR="0015566C">
        <w:t>5%</w:t>
      </w:r>
      <w:r w:rsidR="00BF22E4">
        <w:t>:</w:t>
      </w:r>
    </w:p>
    <w:p w14:paraId="69D589B6" w14:textId="0E695B26" w:rsidR="00311BA8" w:rsidRDefault="00311BA8" w:rsidP="00D255AC">
      <w:pPr>
        <w:pStyle w:val="ListParagraph"/>
        <w:numPr>
          <w:ilvl w:val="0"/>
          <w:numId w:val="43"/>
        </w:numPr>
      </w:pPr>
      <w:r>
        <w:t>Local Benefit</w:t>
      </w:r>
    </w:p>
    <w:p w14:paraId="411C98D6" w14:textId="1DE0E07C" w:rsidR="00311BA8" w:rsidRDefault="00311BA8" w:rsidP="00D255AC">
      <w:pPr>
        <w:pStyle w:val="ListParagraph"/>
        <w:numPr>
          <w:ilvl w:val="0"/>
          <w:numId w:val="43"/>
        </w:numPr>
      </w:pPr>
      <w:r>
        <w:t>Local Knowledge</w:t>
      </w:r>
    </w:p>
    <w:p w14:paraId="3A08F5B5" w14:textId="5397B2A4" w:rsidR="00311BA8" w:rsidRDefault="00311BA8" w:rsidP="00D255AC">
      <w:pPr>
        <w:pStyle w:val="ListParagraph"/>
        <w:numPr>
          <w:ilvl w:val="0"/>
          <w:numId w:val="43"/>
        </w:numPr>
      </w:pPr>
      <w:r>
        <w:t xml:space="preserve">Local </w:t>
      </w:r>
      <w:r w:rsidR="00325C03">
        <w:t>Content/Material</w:t>
      </w:r>
    </w:p>
    <w:p w14:paraId="174208D5" w14:textId="7DEF5494" w:rsidR="000644C9" w:rsidRPr="00DA09B7" w:rsidRDefault="008858AF" w:rsidP="00D255AC">
      <w:pPr>
        <w:pStyle w:val="Heading3"/>
        <w:numPr>
          <w:ilvl w:val="0"/>
          <w:numId w:val="61"/>
        </w:numPr>
      </w:pPr>
      <w:r w:rsidRPr="00DA09B7">
        <w:t>Supply Chain Security</w:t>
      </w:r>
    </w:p>
    <w:p w14:paraId="74A87FB6" w14:textId="09798DD0" w:rsidR="00CD1A04" w:rsidRPr="000202DB" w:rsidRDefault="00CD1A04" w:rsidP="00945B30">
      <w:pPr>
        <w:spacing w:after="240" w:line="240" w:lineRule="auto"/>
        <w:rPr>
          <w:rFonts w:eastAsiaTheme="majorEastAsia" w:cstheme="majorBidi"/>
          <w:b/>
          <w:bCs/>
          <w:color w:val="006E81" w:themeColor="text2"/>
          <w:szCs w:val="24"/>
          <w:lang w:eastAsia="en-CA"/>
        </w:rPr>
      </w:pPr>
      <w:r w:rsidRPr="000202DB">
        <w:rPr>
          <w:rFonts w:eastAsiaTheme="majorEastAsia" w:cstheme="majorBidi"/>
          <w:b/>
          <w:bCs/>
          <w:color w:val="006E81" w:themeColor="text2"/>
          <w:szCs w:val="24"/>
          <w:lang w:eastAsia="en-CA"/>
        </w:rPr>
        <w:t>When to Use</w:t>
      </w:r>
    </w:p>
    <w:p w14:paraId="7F3858C2" w14:textId="3B8B33C3" w:rsidR="00CD1A04" w:rsidRPr="000202DB" w:rsidRDefault="009C15D8" w:rsidP="00264B5C">
      <w:pPr>
        <w:spacing w:after="240"/>
      </w:pPr>
      <w:r w:rsidRPr="000202DB">
        <w:t>Include in</w:t>
      </w:r>
      <w:r w:rsidR="00CD1A04" w:rsidRPr="000202DB">
        <w:t xml:space="preserve"> procurements where a delay in the provision of goods or services might adversely impact the government or Ontarians. </w:t>
      </w:r>
    </w:p>
    <w:p w14:paraId="5A4B1E3C" w14:textId="1F977542" w:rsidR="00CD1A04" w:rsidRPr="000202DB" w:rsidRDefault="00CD1A04" w:rsidP="00264B5C">
      <w:pPr>
        <w:spacing w:after="240"/>
      </w:pPr>
      <w:r w:rsidRPr="000202DB">
        <w:t>The following are examples of sample questions that can be included in a procurement document and how the responses can be assessed.</w:t>
      </w:r>
    </w:p>
    <w:tbl>
      <w:tblPr>
        <w:tblStyle w:val="GridTable4-Accent1"/>
        <w:tblW w:w="5000" w:type="pct"/>
        <w:tblLook w:val="04A0" w:firstRow="1" w:lastRow="0" w:firstColumn="1" w:lastColumn="0" w:noHBand="0" w:noVBand="1"/>
        <w:tblCaption w:val="Table 6: Supply Chain Security"/>
        <w:tblDescription w:val="Examples of sample questions "/>
      </w:tblPr>
      <w:tblGrid>
        <w:gridCol w:w="5098"/>
        <w:gridCol w:w="4252"/>
      </w:tblGrid>
      <w:tr w:rsidR="00D7654C" w:rsidRPr="000202DB" w14:paraId="20B35315" w14:textId="77777777" w:rsidTr="001030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6" w:type="pct"/>
          </w:tcPr>
          <w:p w14:paraId="15E6BAF5" w14:textId="70C2B0FA" w:rsidR="00D7654C" w:rsidRPr="000202DB" w:rsidRDefault="00D7654C" w:rsidP="00264B5C">
            <w:pPr>
              <w:spacing w:before="120" w:after="120" w:line="240" w:lineRule="auto"/>
              <w:jc w:val="center"/>
              <w:rPr>
                <w:rFonts w:eastAsia="Times New Roman" w:cs="Times New Roman"/>
                <w:b w:val="0"/>
                <w:bCs w:val="0"/>
                <w:szCs w:val="24"/>
                <w:lang w:eastAsia="en-CA"/>
              </w:rPr>
            </w:pPr>
            <w:r w:rsidRPr="000202DB">
              <w:t>Sample Questions</w:t>
            </w:r>
          </w:p>
        </w:tc>
        <w:tc>
          <w:tcPr>
            <w:tcW w:w="2274" w:type="pct"/>
          </w:tcPr>
          <w:p w14:paraId="4F9EF895" w14:textId="780C47A0" w:rsidR="00D7654C" w:rsidRPr="000202DB" w:rsidRDefault="00D7654C" w:rsidP="00264B5C">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lang w:eastAsia="en-CA"/>
              </w:rPr>
            </w:pPr>
            <w:r w:rsidRPr="000202DB">
              <w:t>What to Assess?</w:t>
            </w:r>
          </w:p>
        </w:tc>
      </w:tr>
      <w:tr w:rsidR="00D7654C" w:rsidRPr="000202DB" w14:paraId="4F2D983A" w14:textId="77777777" w:rsidTr="001030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6" w:type="pct"/>
          </w:tcPr>
          <w:p w14:paraId="261E4E3A" w14:textId="77777777" w:rsidR="00D7654C" w:rsidRPr="000202DB" w:rsidRDefault="00D7654C" w:rsidP="00D255AC">
            <w:pPr>
              <w:pStyle w:val="ListParagraph"/>
              <w:numPr>
                <w:ilvl w:val="0"/>
                <w:numId w:val="12"/>
              </w:numPr>
              <w:spacing w:before="120" w:after="120" w:line="240" w:lineRule="auto"/>
              <w:ind w:left="0" w:hanging="397"/>
              <w:contextualSpacing w:val="0"/>
              <w:rPr>
                <w:b w:val="0"/>
                <w:bCs w:val="0"/>
                <w:szCs w:val="24"/>
              </w:rPr>
            </w:pPr>
            <w:r w:rsidRPr="000202DB">
              <w:rPr>
                <w:b w:val="0"/>
                <w:bCs w:val="0"/>
                <w:szCs w:val="24"/>
              </w:rPr>
              <w:t>Are you able to deliver the required goods/services per the critical delivery schedule and location specified in the RFB? Yes/No</w:t>
            </w:r>
          </w:p>
          <w:p w14:paraId="73ABC4F5" w14:textId="77777777" w:rsidR="00D7654C" w:rsidRPr="000202DB" w:rsidRDefault="00D7654C" w:rsidP="00D255AC">
            <w:pPr>
              <w:pStyle w:val="ListParagraph"/>
              <w:numPr>
                <w:ilvl w:val="0"/>
                <w:numId w:val="12"/>
              </w:numPr>
              <w:spacing w:before="120" w:after="120" w:line="240" w:lineRule="auto"/>
              <w:ind w:left="0" w:hanging="397"/>
              <w:contextualSpacing w:val="0"/>
              <w:rPr>
                <w:b w:val="0"/>
                <w:bCs w:val="0"/>
                <w:szCs w:val="24"/>
              </w:rPr>
            </w:pPr>
            <w:r w:rsidRPr="000202DB">
              <w:rPr>
                <w:b w:val="0"/>
                <w:bCs w:val="0"/>
                <w:szCs w:val="24"/>
              </w:rPr>
              <w:t xml:space="preserve">Provide details on how you plan to deliver the required goods/services per the critical delivery schedule and location specified in the RFB? </w:t>
            </w:r>
          </w:p>
          <w:p w14:paraId="1FAFEC8F" w14:textId="77777777" w:rsidR="00D7654C" w:rsidRPr="000202DB" w:rsidRDefault="00D7654C" w:rsidP="00D255AC">
            <w:pPr>
              <w:pStyle w:val="ListParagraph"/>
              <w:numPr>
                <w:ilvl w:val="0"/>
                <w:numId w:val="12"/>
              </w:numPr>
              <w:spacing w:before="120" w:after="120" w:line="240" w:lineRule="auto"/>
              <w:ind w:left="0" w:hanging="397"/>
              <w:contextualSpacing w:val="0"/>
              <w:rPr>
                <w:b w:val="0"/>
                <w:bCs w:val="0"/>
                <w:szCs w:val="24"/>
              </w:rPr>
            </w:pPr>
            <w:r w:rsidRPr="000202DB">
              <w:rPr>
                <w:b w:val="0"/>
                <w:bCs w:val="0"/>
                <w:szCs w:val="24"/>
              </w:rPr>
              <w:t>In an emergency, can you ensure an uninterrupted supply of the required goods?</w:t>
            </w:r>
          </w:p>
          <w:p w14:paraId="714773E0" w14:textId="77777777" w:rsidR="00FB77DD" w:rsidRPr="000202DB" w:rsidRDefault="00D7654C" w:rsidP="00D255AC">
            <w:pPr>
              <w:pStyle w:val="ListParagraph"/>
              <w:numPr>
                <w:ilvl w:val="0"/>
                <w:numId w:val="12"/>
              </w:numPr>
              <w:spacing w:before="120" w:after="120" w:line="240" w:lineRule="auto"/>
              <w:ind w:left="0" w:hanging="397"/>
              <w:contextualSpacing w:val="0"/>
              <w:rPr>
                <w:rFonts w:eastAsia="Times New Roman" w:cs="Times New Roman"/>
                <w:b w:val="0"/>
                <w:bCs w:val="0"/>
                <w:szCs w:val="24"/>
                <w:lang w:eastAsia="en-CA"/>
              </w:rPr>
            </w:pPr>
            <w:r w:rsidRPr="000202DB">
              <w:rPr>
                <w:b w:val="0"/>
                <w:bCs w:val="0"/>
                <w:szCs w:val="24"/>
              </w:rPr>
              <w:t xml:space="preserve">Does your organization have business continuity and disaster recovery plans in place to maintain or quickly resume any </w:t>
            </w:r>
            <w:r w:rsidRPr="000202DB">
              <w:rPr>
                <w:b w:val="0"/>
                <w:bCs w:val="0"/>
                <w:szCs w:val="24"/>
              </w:rPr>
              <w:lastRenderedPageBreak/>
              <w:t>delivery of goods or services you provide to us?</w:t>
            </w:r>
          </w:p>
          <w:p w14:paraId="14EA2CEE" w14:textId="6B0D1E11" w:rsidR="00D7654C" w:rsidRPr="000202DB" w:rsidRDefault="00D7654C" w:rsidP="00D255AC">
            <w:pPr>
              <w:pStyle w:val="ListParagraph"/>
              <w:numPr>
                <w:ilvl w:val="0"/>
                <w:numId w:val="12"/>
              </w:numPr>
              <w:spacing w:before="120" w:after="120" w:line="240" w:lineRule="auto"/>
              <w:ind w:left="0" w:hanging="397"/>
              <w:contextualSpacing w:val="0"/>
              <w:rPr>
                <w:rFonts w:eastAsia="Times New Roman" w:cs="Times New Roman"/>
                <w:b w:val="0"/>
                <w:bCs w:val="0"/>
                <w:szCs w:val="24"/>
                <w:lang w:eastAsia="en-CA"/>
              </w:rPr>
            </w:pPr>
            <w:r w:rsidRPr="000202DB">
              <w:rPr>
                <w:b w:val="0"/>
                <w:bCs w:val="0"/>
                <w:szCs w:val="24"/>
              </w:rPr>
              <w:t>Are there processes in place to ensure business continuity management arrangements are tested and reviewed?</w:t>
            </w:r>
          </w:p>
        </w:tc>
        <w:tc>
          <w:tcPr>
            <w:tcW w:w="2274" w:type="pct"/>
          </w:tcPr>
          <w:p w14:paraId="2C1F3C85" w14:textId="512C2CFC" w:rsidR="00FB77DD" w:rsidRPr="000202DB" w:rsidRDefault="00FB77DD" w:rsidP="00D255AC">
            <w:pPr>
              <w:pStyle w:val="ListParagraph"/>
              <w:numPr>
                <w:ilvl w:val="0"/>
                <w:numId w:val="13"/>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rsidRPr="000202DB">
              <w:rPr>
                <w:szCs w:val="24"/>
              </w:rPr>
              <w:lastRenderedPageBreak/>
              <w:t xml:space="preserve">Vendors can provide the required goods/services in a timely manner. </w:t>
            </w:r>
          </w:p>
          <w:p w14:paraId="45617416" w14:textId="54E43280" w:rsidR="00FB77DD" w:rsidRPr="000202DB" w:rsidRDefault="00FB77DD" w:rsidP="00D255AC">
            <w:pPr>
              <w:pStyle w:val="ListParagraph"/>
              <w:numPr>
                <w:ilvl w:val="0"/>
                <w:numId w:val="13"/>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rsidRPr="000202DB">
              <w:rPr>
                <w:szCs w:val="24"/>
              </w:rPr>
              <w:t>Vendor’s delivery plan, logistics and method to ensure timely delivery of the required good/services.</w:t>
            </w:r>
          </w:p>
          <w:p w14:paraId="46AF4B8E" w14:textId="4BD48C40" w:rsidR="00FB77DD" w:rsidRPr="000202DB" w:rsidRDefault="00FB77DD" w:rsidP="00D255AC">
            <w:pPr>
              <w:pStyle w:val="ListParagraph"/>
              <w:numPr>
                <w:ilvl w:val="0"/>
                <w:numId w:val="13"/>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rsidRPr="000202DB">
              <w:rPr>
                <w:szCs w:val="24"/>
              </w:rPr>
              <w:t>Vendor’s logistic/warehousing capability plan to provide uninterrupted supply of the required goods in an emergency.</w:t>
            </w:r>
          </w:p>
          <w:p w14:paraId="4ACA7539" w14:textId="1EAB811E" w:rsidR="00FB77DD" w:rsidRPr="000202DB" w:rsidRDefault="00FB77DD" w:rsidP="00D255AC">
            <w:pPr>
              <w:pStyle w:val="ListParagraph"/>
              <w:numPr>
                <w:ilvl w:val="0"/>
                <w:numId w:val="13"/>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rsidRPr="000202DB">
              <w:rPr>
                <w:szCs w:val="24"/>
              </w:rPr>
              <w:t>Vendor has a business continuity plan in place which would ensure uninterrupted supply of goods or services.</w:t>
            </w:r>
          </w:p>
          <w:p w14:paraId="76CA6FBD" w14:textId="313DCB37" w:rsidR="00D7654C" w:rsidRPr="000202DB" w:rsidRDefault="00FB77DD" w:rsidP="00D255AC">
            <w:pPr>
              <w:pStyle w:val="ListParagraph"/>
              <w:numPr>
                <w:ilvl w:val="0"/>
                <w:numId w:val="13"/>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rsidRPr="000202DB">
              <w:rPr>
                <w:szCs w:val="24"/>
              </w:rPr>
              <w:lastRenderedPageBreak/>
              <w:t>Vendor’s business continuity plans have been tested and proven to work.</w:t>
            </w:r>
          </w:p>
        </w:tc>
      </w:tr>
    </w:tbl>
    <w:p w14:paraId="222F5F8A" w14:textId="5E620236" w:rsidR="00566F28" w:rsidRPr="000202DB" w:rsidRDefault="00566F28" w:rsidP="00264B5C">
      <w:pPr>
        <w:spacing w:after="0" w:line="240" w:lineRule="auto"/>
        <w:rPr>
          <w:rFonts w:eastAsia="Times New Roman" w:cs="Times New Roman"/>
          <w:szCs w:val="24"/>
          <w:lang w:eastAsia="en-CA"/>
        </w:rPr>
      </w:pPr>
    </w:p>
    <w:p w14:paraId="6EEB928C" w14:textId="4FD038F1" w:rsidR="00D7654C" w:rsidRPr="000202DB" w:rsidRDefault="00566F28" w:rsidP="00264B5C">
      <w:pPr>
        <w:spacing w:before="0" w:line="259" w:lineRule="auto"/>
        <w:rPr>
          <w:rFonts w:eastAsia="Times New Roman" w:cs="Times New Roman"/>
          <w:szCs w:val="24"/>
          <w:lang w:eastAsia="en-CA"/>
        </w:rPr>
      </w:pPr>
      <w:r w:rsidRPr="000202DB">
        <w:rPr>
          <w:rFonts w:eastAsia="Times New Roman" w:cs="Times New Roman"/>
          <w:szCs w:val="24"/>
          <w:lang w:eastAsia="en-CA"/>
        </w:rPr>
        <w:br w:type="page"/>
      </w:r>
    </w:p>
    <w:p w14:paraId="7B91E0B4" w14:textId="7617C477" w:rsidR="00CD1A04" w:rsidRPr="000202DB" w:rsidRDefault="00CD1A04" w:rsidP="0075412A">
      <w:pPr>
        <w:pStyle w:val="Heading3"/>
      </w:pPr>
      <w:bookmarkStart w:id="49" w:name="_Toc90037136"/>
      <w:r w:rsidRPr="000202DB">
        <w:lastRenderedPageBreak/>
        <w:t>Business Responsiveness</w:t>
      </w:r>
      <w:bookmarkEnd w:id="49"/>
    </w:p>
    <w:p w14:paraId="26664A89" w14:textId="64E2A277" w:rsidR="00CD1A04" w:rsidRPr="000202DB" w:rsidRDefault="00CD1A04" w:rsidP="00945B30">
      <w:pPr>
        <w:spacing w:after="240" w:line="240" w:lineRule="auto"/>
        <w:rPr>
          <w:rFonts w:eastAsiaTheme="majorEastAsia" w:cstheme="majorBidi"/>
          <w:b/>
          <w:bCs/>
          <w:color w:val="006E81" w:themeColor="text2"/>
          <w:szCs w:val="24"/>
          <w:lang w:eastAsia="en-CA"/>
        </w:rPr>
      </w:pPr>
      <w:r w:rsidRPr="000202DB">
        <w:rPr>
          <w:rFonts w:eastAsiaTheme="majorEastAsia" w:cstheme="majorBidi"/>
          <w:b/>
          <w:bCs/>
          <w:color w:val="006E81" w:themeColor="text2"/>
          <w:szCs w:val="24"/>
          <w:lang w:eastAsia="en-CA"/>
        </w:rPr>
        <w:t>When to Use</w:t>
      </w:r>
    </w:p>
    <w:p w14:paraId="15E38EC0" w14:textId="77777777" w:rsidR="008D4CA0" w:rsidRPr="000202DB" w:rsidRDefault="001432ED" w:rsidP="00945B30">
      <w:pPr>
        <w:spacing w:after="240" w:line="240" w:lineRule="auto"/>
      </w:pPr>
      <w:r w:rsidRPr="000202DB">
        <w:t>Include</w:t>
      </w:r>
      <w:r w:rsidR="00CD1A04" w:rsidRPr="000202DB">
        <w:t xml:space="preserve"> in procurements where the suppliers of goods and services are required to </w:t>
      </w:r>
      <w:r w:rsidR="00294F1C" w:rsidRPr="000202DB">
        <w:t xml:space="preserve">respond within </w:t>
      </w:r>
      <w:r w:rsidR="00CD1A04" w:rsidRPr="000202DB">
        <w:t>a specific response time, turn-around and/or in-person resolution at the site.</w:t>
      </w:r>
      <w:r w:rsidR="007F0DEA" w:rsidRPr="000202DB">
        <w:t xml:space="preserve"> </w:t>
      </w:r>
    </w:p>
    <w:p w14:paraId="20999153" w14:textId="05FD1CF2" w:rsidR="00D7654C" w:rsidRPr="000202DB" w:rsidRDefault="007F0DEA" w:rsidP="00264B5C">
      <w:pPr>
        <w:spacing w:after="240"/>
      </w:pPr>
      <w:r w:rsidRPr="000202DB">
        <w:t>The following are examples of sample questions that can be included in a procurement document and how the responses can be assessed.</w:t>
      </w:r>
    </w:p>
    <w:tbl>
      <w:tblPr>
        <w:tblStyle w:val="GridTable4-Accent1"/>
        <w:tblW w:w="5000" w:type="pct"/>
        <w:tblLook w:val="04A0" w:firstRow="1" w:lastRow="0" w:firstColumn="1" w:lastColumn="0" w:noHBand="0" w:noVBand="1"/>
        <w:tblCaption w:val="Table 7: Business Responsiveness"/>
        <w:tblDescription w:val="Examples of sample questions"/>
      </w:tblPr>
      <w:tblGrid>
        <w:gridCol w:w="4675"/>
        <w:gridCol w:w="4675"/>
      </w:tblGrid>
      <w:tr w:rsidR="00943BFC" w:rsidRPr="000202DB" w14:paraId="0D2F59B7" w14:textId="77777777" w:rsidTr="001030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10A5CAF" w14:textId="77777777" w:rsidR="006844CE" w:rsidRPr="000202DB" w:rsidRDefault="006844CE" w:rsidP="00264B5C">
            <w:pPr>
              <w:spacing w:before="120" w:after="120" w:line="240" w:lineRule="auto"/>
              <w:jc w:val="center"/>
              <w:rPr>
                <w:rFonts w:eastAsia="Times New Roman" w:cs="Times New Roman"/>
                <w:b w:val="0"/>
                <w:bCs w:val="0"/>
                <w:szCs w:val="24"/>
                <w:lang w:eastAsia="en-CA"/>
              </w:rPr>
            </w:pPr>
            <w:r w:rsidRPr="000202DB">
              <w:t>Sample Questions</w:t>
            </w:r>
          </w:p>
        </w:tc>
        <w:tc>
          <w:tcPr>
            <w:tcW w:w="2500" w:type="pct"/>
          </w:tcPr>
          <w:p w14:paraId="75926B68" w14:textId="77777777" w:rsidR="006844CE" w:rsidRPr="000202DB" w:rsidRDefault="006844CE" w:rsidP="00264B5C">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lang w:eastAsia="en-CA"/>
              </w:rPr>
            </w:pPr>
            <w:r w:rsidRPr="000202DB">
              <w:t>What to Assess?</w:t>
            </w:r>
          </w:p>
        </w:tc>
      </w:tr>
      <w:tr w:rsidR="006844CE" w:rsidRPr="000202DB" w14:paraId="01D034E5" w14:textId="77777777" w:rsidTr="001030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C6761C8" w14:textId="77777777" w:rsidR="006844CE" w:rsidRPr="000202DB" w:rsidRDefault="006844CE" w:rsidP="00D255AC">
            <w:pPr>
              <w:pStyle w:val="ListParagraph"/>
              <w:numPr>
                <w:ilvl w:val="0"/>
                <w:numId w:val="14"/>
              </w:numPr>
              <w:spacing w:before="120" w:after="120" w:line="240" w:lineRule="auto"/>
              <w:ind w:left="0" w:hanging="397"/>
              <w:contextualSpacing w:val="0"/>
              <w:rPr>
                <w:b w:val="0"/>
                <w:bCs w:val="0"/>
                <w:szCs w:val="24"/>
              </w:rPr>
            </w:pPr>
            <w:r w:rsidRPr="000202DB">
              <w:rPr>
                <w:b w:val="0"/>
                <w:bCs w:val="0"/>
                <w:szCs w:val="24"/>
              </w:rPr>
              <w:t>Describe how your organization can ensure on-time delivery.</w:t>
            </w:r>
          </w:p>
          <w:p w14:paraId="051F1378" w14:textId="77777777" w:rsidR="006844CE" w:rsidRPr="000202DB" w:rsidRDefault="006844CE" w:rsidP="00D255AC">
            <w:pPr>
              <w:pStyle w:val="ListParagraph"/>
              <w:numPr>
                <w:ilvl w:val="0"/>
                <w:numId w:val="14"/>
              </w:numPr>
              <w:spacing w:before="120" w:after="120" w:line="240" w:lineRule="auto"/>
              <w:ind w:left="0" w:hanging="397"/>
              <w:contextualSpacing w:val="0"/>
              <w:rPr>
                <w:b w:val="0"/>
                <w:bCs w:val="0"/>
                <w:szCs w:val="24"/>
              </w:rPr>
            </w:pPr>
            <w:r w:rsidRPr="000202DB">
              <w:rPr>
                <w:b w:val="0"/>
                <w:bCs w:val="0"/>
                <w:szCs w:val="24"/>
              </w:rPr>
              <w:t>Describe how your organization will be responsive and on-site as per the schedule outlined in the RFB.</w:t>
            </w:r>
          </w:p>
          <w:p w14:paraId="5D42DB82" w14:textId="40B59122" w:rsidR="006844CE" w:rsidRPr="000202DB" w:rsidRDefault="006844CE" w:rsidP="00D255AC">
            <w:pPr>
              <w:pStyle w:val="ListParagraph"/>
              <w:numPr>
                <w:ilvl w:val="0"/>
                <w:numId w:val="14"/>
              </w:numPr>
              <w:spacing w:before="120" w:after="120" w:line="240" w:lineRule="auto"/>
              <w:ind w:left="0" w:hanging="397"/>
              <w:contextualSpacing w:val="0"/>
              <w:rPr>
                <w:rFonts w:eastAsia="Times New Roman" w:cs="Times New Roman"/>
                <w:b w:val="0"/>
                <w:bCs w:val="0"/>
                <w:szCs w:val="24"/>
                <w:lang w:eastAsia="en-CA"/>
              </w:rPr>
            </w:pPr>
            <w:r w:rsidRPr="000202DB">
              <w:rPr>
                <w:b w:val="0"/>
                <w:bCs w:val="0"/>
                <w:szCs w:val="24"/>
              </w:rPr>
              <w:t>Describe how your organization will provide on-site services to resolve technical breakdown issues within XX hours of receiving communication from the ministry.</w:t>
            </w:r>
          </w:p>
        </w:tc>
        <w:tc>
          <w:tcPr>
            <w:tcW w:w="2500" w:type="pct"/>
          </w:tcPr>
          <w:p w14:paraId="57939664" w14:textId="7B3C92B2" w:rsidR="005E3A49" w:rsidRPr="000202DB" w:rsidRDefault="00816BF7" w:rsidP="00D255AC">
            <w:pPr>
              <w:pStyle w:val="ListParagraph"/>
              <w:numPr>
                <w:ilvl w:val="0"/>
                <w:numId w:val="15"/>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rsidRPr="000202DB">
              <w:rPr>
                <w:szCs w:val="24"/>
              </w:rPr>
              <w:t>Vendor’s logistics capability to deliver as per the requirement of the RFB.</w:t>
            </w:r>
          </w:p>
          <w:p w14:paraId="7C5CF7B6" w14:textId="028D0A7A" w:rsidR="005E3A49" w:rsidRPr="000202DB" w:rsidRDefault="00816BF7" w:rsidP="00D255AC">
            <w:pPr>
              <w:pStyle w:val="ListParagraph"/>
              <w:numPr>
                <w:ilvl w:val="0"/>
                <w:numId w:val="15"/>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rsidRPr="000202DB">
              <w:rPr>
                <w:szCs w:val="24"/>
              </w:rPr>
              <w:t>Vendor’s capability to deploy resources to provide on-site issues resolution.</w:t>
            </w:r>
          </w:p>
          <w:p w14:paraId="08F9E938" w14:textId="1A5C824A" w:rsidR="005E3A49" w:rsidRPr="000202DB" w:rsidRDefault="005E3A49" w:rsidP="00D255AC">
            <w:pPr>
              <w:pStyle w:val="ListParagraph"/>
              <w:numPr>
                <w:ilvl w:val="0"/>
                <w:numId w:val="15"/>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rsidRPr="000202DB">
              <w:rPr>
                <w:szCs w:val="24"/>
              </w:rPr>
              <w:t>Does the vendor have an existing conflict resolution or escalation process in place?</w:t>
            </w:r>
          </w:p>
          <w:p w14:paraId="67BE1248" w14:textId="109CF0C7" w:rsidR="006844CE" w:rsidRPr="000202DB" w:rsidRDefault="006844CE" w:rsidP="00264B5C">
            <w:pPr>
              <w:pStyle w:val="ListParagraph"/>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pPr>
          </w:p>
        </w:tc>
      </w:tr>
    </w:tbl>
    <w:p w14:paraId="05B572B3" w14:textId="24ECD582" w:rsidR="00CD1A04" w:rsidRPr="00DA09B7" w:rsidRDefault="00CD1A04" w:rsidP="0075412A">
      <w:pPr>
        <w:pStyle w:val="Heading3"/>
      </w:pPr>
      <w:bookmarkStart w:id="50" w:name="_Toc90037137"/>
      <w:r w:rsidRPr="000202DB">
        <w:t>Local Knowledge</w:t>
      </w:r>
      <w:bookmarkEnd w:id="50"/>
    </w:p>
    <w:p w14:paraId="1CFDFDB1" w14:textId="0329FF48" w:rsidR="00CD1A04" w:rsidRPr="000202DB" w:rsidRDefault="00CD1A04" w:rsidP="00945B30">
      <w:pPr>
        <w:spacing w:after="240" w:line="240" w:lineRule="auto"/>
        <w:rPr>
          <w:rFonts w:eastAsia="Times New Roman" w:cs="Times New Roman"/>
          <w:color w:val="006E81" w:themeColor="text2"/>
          <w:szCs w:val="24"/>
          <w:lang w:eastAsia="en-CA"/>
        </w:rPr>
      </w:pPr>
      <w:r w:rsidRPr="000202DB">
        <w:rPr>
          <w:rFonts w:eastAsiaTheme="majorEastAsia" w:cstheme="majorBidi"/>
          <w:b/>
          <w:bCs/>
          <w:color w:val="006E81" w:themeColor="text2"/>
          <w:szCs w:val="24"/>
          <w:lang w:eastAsia="en-CA"/>
        </w:rPr>
        <w:t>When to Use</w:t>
      </w:r>
    </w:p>
    <w:p w14:paraId="56FA3FC6" w14:textId="77866CA5" w:rsidR="00CD1A04" w:rsidRPr="000202DB" w:rsidRDefault="00191608" w:rsidP="00945B30">
      <w:pPr>
        <w:spacing w:after="240" w:line="240" w:lineRule="auto"/>
      </w:pPr>
      <w:r w:rsidRPr="000202DB">
        <w:t>Include in procurement where</w:t>
      </w:r>
      <w:r w:rsidR="009A44CF" w:rsidRPr="000202DB">
        <w:t xml:space="preserve"> </w:t>
      </w:r>
      <w:r w:rsidR="00AF0FAD" w:rsidRPr="000202DB">
        <w:t xml:space="preserve">a </w:t>
      </w:r>
      <w:r w:rsidR="00CD1A04" w:rsidRPr="000202DB">
        <w:t>vendor</w:t>
      </w:r>
      <w:r w:rsidR="00312C1A" w:rsidRPr="000202DB">
        <w:t>’</w:t>
      </w:r>
      <w:r w:rsidR="00CD1A04" w:rsidRPr="000202DB">
        <w:t xml:space="preserve">s </w:t>
      </w:r>
      <w:r w:rsidR="00AF0FAD" w:rsidRPr="000202DB">
        <w:t xml:space="preserve">Ontario specific </w:t>
      </w:r>
      <w:r w:rsidR="00CD1A04" w:rsidRPr="000202DB">
        <w:t>knowledge and</w:t>
      </w:r>
      <w:r w:rsidR="00AF0FAD" w:rsidRPr="000202DB">
        <w:t>/or</w:t>
      </w:r>
      <w:r w:rsidR="00CD1A04" w:rsidRPr="000202DB">
        <w:t xml:space="preserve"> experience </w:t>
      </w:r>
      <w:r w:rsidR="0052143E" w:rsidRPr="000202DB">
        <w:t xml:space="preserve">is relevant to elements </w:t>
      </w:r>
      <w:r w:rsidR="005F152F" w:rsidRPr="000202DB">
        <w:t xml:space="preserve">and the successful delivery of </w:t>
      </w:r>
      <w:r w:rsidR="0052143E" w:rsidRPr="000202DB">
        <w:t>the project</w:t>
      </w:r>
      <w:r w:rsidR="00CD1A04" w:rsidRPr="000202DB">
        <w:t>. This includes the vendor</w:t>
      </w:r>
      <w:r w:rsidR="00312C1A" w:rsidRPr="000202DB">
        <w:t>’</w:t>
      </w:r>
      <w:r w:rsidR="00CD1A04" w:rsidRPr="000202DB">
        <w:t>s</w:t>
      </w:r>
      <w:r w:rsidR="002D14B1" w:rsidRPr="000202DB">
        <w:t xml:space="preserve"> </w:t>
      </w:r>
      <w:r w:rsidR="00CD1A04" w:rsidRPr="000202DB">
        <w:t>understanding of the local landscape including such matters as policy, regulations, legislation and/ or stakeholder relations that can impact the provision of services and effective completion of a project.</w:t>
      </w:r>
      <w:r w:rsidR="77AFD421">
        <w:t xml:space="preserve"> </w:t>
      </w:r>
    </w:p>
    <w:p w14:paraId="42817DA0" w14:textId="11AF3E75" w:rsidR="00E2470D" w:rsidRPr="000202DB" w:rsidRDefault="000B4373" w:rsidP="00264B5C">
      <w:pPr>
        <w:spacing w:after="240"/>
      </w:pPr>
      <w:r w:rsidRPr="000202DB">
        <w:t>For example, when constructing a building a vendor would have to be able to demonstrate an understanding of permits requirements, utilities, building codes, health and safety requirements, and skilled trades all of which are critical for effective delivery of the project</w:t>
      </w:r>
      <w:r w:rsidR="00C81A0D" w:rsidRPr="000202DB">
        <w:t>.</w:t>
      </w:r>
    </w:p>
    <w:p w14:paraId="726BB86E" w14:textId="1CD7F649" w:rsidR="00B47B2F" w:rsidRPr="000202DB" w:rsidRDefault="00E2470D" w:rsidP="00264B5C">
      <w:pPr>
        <w:spacing w:after="240"/>
      </w:pPr>
      <w:r w:rsidRPr="000202DB">
        <w:lastRenderedPageBreak/>
        <w:t>The following are examples of sample questions that can be included in a procurement document and how the responses can be assessed.</w:t>
      </w:r>
    </w:p>
    <w:tbl>
      <w:tblPr>
        <w:tblStyle w:val="GridTable4-Accent1"/>
        <w:tblW w:w="5000" w:type="pct"/>
        <w:tblLook w:val="04A0" w:firstRow="1" w:lastRow="0" w:firstColumn="1" w:lastColumn="0" w:noHBand="0" w:noVBand="1"/>
        <w:tblCaption w:val="Table 8: Local Knowledge"/>
        <w:tblDescription w:val="Examples of sample questions"/>
      </w:tblPr>
      <w:tblGrid>
        <w:gridCol w:w="4675"/>
        <w:gridCol w:w="4675"/>
      </w:tblGrid>
      <w:tr w:rsidR="00D51BE0" w:rsidRPr="000202DB" w14:paraId="07F78773" w14:textId="77777777" w:rsidTr="001030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43E5B8F" w14:textId="77777777" w:rsidR="006E1E5B" w:rsidRPr="000202DB" w:rsidRDefault="006E1E5B" w:rsidP="00264B5C">
            <w:pPr>
              <w:spacing w:before="120" w:after="120" w:line="240" w:lineRule="auto"/>
              <w:jc w:val="center"/>
              <w:rPr>
                <w:rFonts w:eastAsia="Times New Roman" w:cs="Times New Roman"/>
                <w:b w:val="0"/>
                <w:bCs w:val="0"/>
                <w:szCs w:val="24"/>
                <w:lang w:eastAsia="en-CA"/>
              </w:rPr>
            </w:pPr>
            <w:r w:rsidRPr="000202DB">
              <w:t>Sample Questions</w:t>
            </w:r>
          </w:p>
        </w:tc>
        <w:tc>
          <w:tcPr>
            <w:tcW w:w="2500" w:type="pct"/>
          </w:tcPr>
          <w:p w14:paraId="674B1F30" w14:textId="77777777" w:rsidR="006E1E5B" w:rsidRPr="000202DB" w:rsidRDefault="006E1E5B" w:rsidP="00264B5C">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lang w:eastAsia="en-CA"/>
              </w:rPr>
            </w:pPr>
            <w:r w:rsidRPr="000202DB">
              <w:t>What to Assess?</w:t>
            </w:r>
          </w:p>
        </w:tc>
      </w:tr>
      <w:tr w:rsidR="006E1E5B" w:rsidRPr="000202DB" w14:paraId="121D71A5" w14:textId="77777777" w:rsidTr="001030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B18E082" w14:textId="77777777" w:rsidR="00FF13C7" w:rsidRPr="000202DB" w:rsidRDefault="00FF13C7" w:rsidP="00D255AC">
            <w:pPr>
              <w:pStyle w:val="ListParagraph"/>
              <w:numPr>
                <w:ilvl w:val="0"/>
                <w:numId w:val="16"/>
              </w:numPr>
              <w:spacing w:before="120" w:after="120" w:line="240" w:lineRule="auto"/>
              <w:ind w:left="0" w:hanging="397"/>
              <w:contextualSpacing w:val="0"/>
              <w:rPr>
                <w:rFonts w:eastAsia="Times New Roman" w:cs="Times New Roman"/>
                <w:b w:val="0"/>
                <w:bCs w:val="0"/>
                <w:szCs w:val="24"/>
                <w:lang w:eastAsia="en-CA"/>
              </w:rPr>
            </w:pPr>
            <w:r w:rsidRPr="000202DB">
              <w:rPr>
                <w:rFonts w:eastAsia="Times New Roman" w:cs="Times New Roman"/>
                <w:b w:val="0"/>
                <w:bCs w:val="0"/>
                <w:szCs w:val="24"/>
                <w:lang w:eastAsia="en-CA"/>
              </w:rPr>
              <w:t>Describe your experience with the climatic and environmental requirements in Ontario/Canada.</w:t>
            </w:r>
          </w:p>
          <w:p w14:paraId="4469ACAC" w14:textId="77777777" w:rsidR="00FF13C7" w:rsidRPr="000202DB" w:rsidRDefault="00FF13C7" w:rsidP="00D255AC">
            <w:pPr>
              <w:pStyle w:val="ListParagraph"/>
              <w:numPr>
                <w:ilvl w:val="0"/>
                <w:numId w:val="16"/>
              </w:numPr>
              <w:spacing w:before="120" w:after="120" w:line="240" w:lineRule="auto"/>
              <w:ind w:left="0" w:hanging="397"/>
              <w:contextualSpacing w:val="0"/>
              <w:rPr>
                <w:rFonts w:eastAsia="Times New Roman" w:cs="Times New Roman"/>
                <w:b w:val="0"/>
                <w:bCs w:val="0"/>
                <w:szCs w:val="24"/>
                <w:lang w:eastAsia="en-CA"/>
              </w:rPr>
            </w:pPr>
            <w:r w:rsidRPr="000202DB">
              <w:rPr>
                <w:rFonts w:eastAsia="Times New Roman" w:cs="Times New Roman"/>
                <w:b w:val="0"/>
                <w:bCs w:val="0"/>
                <w:szCs w:val="24"/>
                <w:lang w:eastAsia="en-CA"/>
              </w:rPr>
              <w:t>What regulatory, bylaw and licensing requirements will impact this project?</w:t>
            </w:r>
          </w:p>
          <w:p w14:paraId="25122D56" w14:textId="77777777" w:rsidR="00FF13C7" w:rsidRPr="000202DB" w:rsidRDefault="00FF13C7" w:rsidP="00D255AC">
            <w:pPr>
              <w:pStyle w:val="ListParagraph"/>
              <w:numPr>
                <w:ilvl w:val="0"/>
                <w:numId w:val="16"/>
              </w:numPr>
              <w:spacing w:before="120" w:after="120" w:line="240" w:lineRule="auto"/>
              <w:ind w:left="0" w:hanging="397"/>
              <w:contextualSpacing w:val="0"/>
              <w:rPr>
                <w:rFonts w:eastAsia="Times New Roman" w:cs="Times New Roman"/>
                <w:b w:val="0"/>
                <w:bCs w:val="0"/>
                <w:szCs w:val="24"/>
                <w:lang w:eastAsia="en-CA"/>
              </w:rPr>
            </w:pPr>
            <w:r w:rsidRPr="000202DB">
              <w:rPr>
                <w:rFonts w:eastAsia="Times New Roman" w:cs="Times New Roman"/>
                <w:b w:val="0"/>
                <w:bCs w:val="0"/>
                <w:szCs w:val="24"/>
                <w:lang w:eastAsia="en-CA"/>
              </w:rPr>
              <w:t>Describe your organization’s labour codes, workers compensation and safety regulations.</w:t>
            </w:r>
          </w:p>
          <w:p w14:paraId="4561F078" w14:textId="77777777" w:rsidR="00FF13C7" w:rsidRPr="000202DB" w:rsidRDefault="00FF13C7" w:rsidP="00D255AC">
            <w:pPr>
              <w:pStyle w:val="ListParagraph"/>
              <w:numPr>
                <w:ilvl w:val="0"/>
                <w:numId w:val="16"/>
              </w:numPr>
              <w:spacing w:before="120" w:after="120" w:line="240" w:lineRule="auto"/>
              <w:ind w:left="0" w:hanging="397"/>
              <w:contextualSpacing w:val="0"/>
              <w:rPr>
                <w:rFonts w:eastAsia="Times New Roman" w:cs="Times New Roman"/>
                <w:b w:val="0"/>
                <w:bCs w:val="0"/>
                <w:szCs w:val="24"/>
                <w:lang w:eastAsia="en-CA"/>
              </w:rPr>
            </w:pPr>
            <w:r w:rsidRPr="000202DB">
              <w:rPr>
                <w:rFonts w:eastAsia="Times New Roman" w:cs="Times New Roman"/>
                <w:b w:val="0"/>
                <w:bCs w:val="0"/>
                <w:szCs w:val="24"/>
                <w:lang w:eastAsia="en-CA"/>
              </w:rPr>
              <w:t>Describe the building codes and any applicable local codes impacted by the requirement in this procurement.</w:t>
            </w:r>
          </w:p>
          <w:p w14:paraId="497FAF5D" w14:textId="5952F639" w:rsidR="006E1E5B" w:rsidRPr="000202DB" w:rsidRDefault="00FF13C7" w:rsidP="00D255AC">
            <w:pPr>
              <w:pStyle w:val="ListParagraph"/>
              <w:numPr>
                <w:ilvl w:val="0"/>
                <w:numId w:val="16"/>
              </w:numPr>
              <w:spacing w:before="120" w:after="120" w:line="240" w:lineRule="auto"/>
              <w:ind w:left="0" w:hanging="397"/>
              <w:contextualSpacing w:val="0"/>
              <w:rPr>
                <w:rFonts w:eastAsia="Times New Roman" w:cs="Times New Roman"/>
                <w:b w:val="0"/>
                <w:bCs w:val="0"/>
                <w:szCs w:val="24"/>
                <w:lang w:eastAsia="en-CA"/>
              </w:rPr>
            </w:pPr>
            <w:r w:rsidRPr="000202DB">
              <w:rPr>
                <w:rFonts w:eastAsia="Times New Roman" w:cs="Times New Roman"/>
                <w:b w:val="0"/>
                <w:bCs w:val="0"/>
                <w:szCs w:val="24"/>
                <w:lang w:eastAsia="en-CA"/>
              </w:rPr>
              <w:t>Provide proof of Ontario professional licensing requirements or equivalent</w:t>
            </w:r>
          </w:p>
        </w:tc>
        <w:tc>
          <w:tcPr>
            <w:tcW w:w="2500" w:type="pct"/>
          </w:tcPr>
          <w:p w14:paraId="335053DB" w14:textId="667E34D5" w:rsidR="00393CA0" w:rsidRPr="000202DB" w:rsidRDefault="00393CA0" w:rsidP="00D255AC">
            <w:pPr>
              <w:pStyle w:val="ListParagraph"/>
              <w:numPr>
                <w:ilvl w:val="0"/>
                <w:numId w:val="17"/>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rsidRPr="000202DB">
              <w:rPr>
                <w:szCs w:val="24"/>
              </w:rPr>
              <w:t>Vendor’s knowledge of Ontario’s environmental laws and requirements.</w:t>
            </w:r>
          </w:p>
          <w:p w14:paraId="2BADD5C5" w14:textId="1B8D319D" w:rsidR="00393CA0" w:rsidRPr="000202DB" w:rsidRDefault="00393CA0" w:rsidP="00D255AC">
            <w:pPr>
              <w:pStyle w:val="ListParagraph"/>
              <w:numPr>
                <w:ilvl w:val="0"/>
                <w:numId w:val="17"/>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rsidRPr="000202DB">
              <w:rPr>
                <w:szCs w:val="24"/>
              </w:rPr>
              <w:t>Vendor’s understanding of Ontario’s laws required in the delivery of a procurement.</w:t>
            </w:r>
          </w:p>
          <w:p w14:paraId="46EEBEE8" w14:textId="3789DA6B" w:rsidR="00393CA0" w:rsidRPr="000202DB" w:rsidRDefault="00393CA0" w:rsidP="00D255AC">
            <w:pPr>
              <w:pStyle w:val="ListParagraph"/>
              <w:numPr>
                <w:ilvl w:val="0"/>
                <w:numId w:val="17"/>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rsidRPr="000202DB">
              <w:rPr>
                <w:szCs w:val="24"/>
              </w:rPr>
              <w:t xml:space="preserve">Vendor has demonstrated that its labour codes, workers compensation and safety regulations meet Ontario’s </w:t>
            </w:r>
            <w:r w:rsidR="00D240C0" w:rsidRPr="000202DB">
              <w:rPr>
                <w:szCs w:val="24"/>
              </w:rPr>
              <w:t>standards.</w:t>
            </w:r>
          </w:p>
          <w:p w14:paraId="501EAA0A" w14:textId="4AF15C95" w:rsidR="00393CA0" w:rsidRPr="000202DB" w:rsidRDefault="00393CA0" w:rsidP="00D255AC">
            <w:pPr>
              <w:pStyle w:val="ListParagraph"/>
              <w:numPr>
                <w:ilvl w:val="0"/>
                <w:numId w:val="17"/>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rsidRPr="000202DB">
              <w:rPr>
                <w:szCs w:val="24"/>
              </w:rPr>
              <w:t>Vendor’s understanding of Ontario’s building codes.</w:t>
            </w:r>
          </w:p>
          <w:p w14:paraId="79A38B21" w14:textId="0D747366" w:rsidR="006E1E5B" w:rsidRPr="000202DB" w:rsidRDefault="00393CA0" w:rsidP="00D255AC">
            <w:pPr>
              <w:pStyle w:val="ListParagraph"/>
              <w:numPr>
                <w:ilvl w:val="0"/>
                <w:numId w:val="17"/>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rsidRPr="000202DB">
              <w:rPr>
                <w:szCs w:val="24"/>
              </w:rPr>
              <w:t>Vendor has the required certification or license to provide the required services.</w:t>
            </w:r>
          </w:p>
        </w:tc>
      </w:tr>
    </w:tbl>
    <w:p w14:paraId="5DCB1B18" w14:textId="77777777" w:rsidR="00566F28" w:rsidRPr="000202DB" w:rsidRDefault="00566F28" w:rsidP="00264B5C">
      <w:bookmarkStart w:id="51" w:name="_Toc90037138"/>
      <w:r w:rsidRPr="000202DB">
        <w:rPr>
          <w:b/>
          <w:bCs/>
        </w:rPr>
        <w:br w:type="page"/>
      </w:r>
    </w:p>
    <w:p w14:paraId="258C6CB6" w14:textId="7E0A2995" w:rsidR="00CD1A04" w:rsidRPr="000202DB" w:rsidRDefault="00464908" w:rsidP="0075412A">
      <w:pPr>
        <w:pStyle w:val="Heading3"/>
      </w:pPr>
      <w:r>
        <w:lastRenderedPageBreak/>
        <w:t>Environmental</w:t>
      </w:r>
      <w:r w:rsidR="00CD1A04" w:rsidRPr="000202DB">
        <w:t xml:space="preserve"> and Sustainability</w:t>
      </w:r>
      <w:bookmarkEnd w:id="51"/>
      <w:r w:rsidR="00CD1A04" w:rsidRPr="000202DB">
        <w:t xml:space="preserve"> </w:t>
      </w:r>
    </w:p>
    <w:p w14:paraId="17333A8A" w14:textId="6CE2466E" w:rsidR="00CD1A04" w:rsidRDefault="00CD1A04" w:rsidP="00945B30">
      <w:pPr>
        <w:spacing w:after="240" w:line="240" w:lineRule="auto"/>
        <w:contextualSpacing/>
        <w:rPr>
          <w:rFonts w:eastAsiaTheme="majorEastAsia" w:cstheme="majorBidi"/>
          <w:b/>
          <w:bCs/>
          <w:color w:val="006E81" w:themeColor="text2"/>
          <w:szCs w:val="24"/>
          <w:lang w:eastAsia="en-CA"/>
        </w:rPr>
      </w:pPr>
      <w:r w:rsidRPr="000202DB">
        <w:rPr>
          <w:rFonts w:eastAsiaTheme="majorEastAsia" w:cstheme="majorBidi"/>
          <w:b/>
          <w:bCs/>
          <w:color w:val="006E81" w:themeColor="text2"/>
          <w:szCs w:val="24"/>
          <w:lang w:eastAsia="en-CA"/>
        </w:rPr>
        <w:t>When to Use</w:t>
      </w:r>
    </w:p>
    <w:p w14:paraId="1FF98D8C" w14:textId="77777777" w:rsidR="00945B30" w:rsidRPr="000202DB" w:rsidRDefault="00945B30" w:rsidP="00945B30">
      <w:pPr>
        <w:spacing w:after="240" w:line="240" w:lineRule="auto"/>
        <w:contextualSpacing/>
        <w:rPr>
          <w:rFonts w:eastAsia="Times New Roman" w:cs="Times New Roman"/>
          <w:color w:val="006E81" w:themeColor="text2"/>
          <w:szCs w:val="24"/>
          <w:lang w:eastAsia="en-CA"/>
        </w:rPr>
      </w:pPr>
    </w:p>
    <w:p w14:paraId="2359915B" w14:textId="5EA64A84" w:rsidR="00CD1A04" w:rsidRPr="000202DB" w:rsidRDefault="004E7F01" w:rsidP="00945B30">
      <w:pPr>
        <w:spacing w:after="240" w:line="240" w:lineRule="auto"/>
      </w:pPr>
      <w:r w:rsidRPr="000202DB">
        <w:t xml:space="preserve">Include if </w:t>
      </w:r>
      <w:r w:rsidR="00CD1A04" w:rsidRPr="000202DB">
        <w:t xml:space="preserve">goods and </w:t>
      </w:r>
      <w:r w:rsidR="0026568C" w:rsidRPr="000202DB">
        <w:t xml:space="preserve">services </w:t>
      </w:r>
      <w:r w:rsidR="00312C1A" w:rsidRPr="000202DB">
        <w:t xml:space="preserve">are </w:t>
      </w:r>
      <w:r w:rsidR="0026568C" w:rsidRPr="000202DB">
        <w:t xml:space="preserve">impacted by </w:t>
      </w:r>
      <w:r w:rsidR="002F2B64" w:rsidRPr="000202DB">
        <w:t xml:space="preserve">existing </w:t>
      </w:r>
      <w:r w:rsidR="005B0FC6" w:rsidRPr="000202DB">
        <w:t xml:space="preserve">Ontario or Canadian </w:t>
      </w:r>
      <w:r w:rsidR="002F2B64" w:rsidRPr="000202DB">
        <w:t>e</w:t>
      </w:r>
      <w:r w:rsidR="002B083F" w:rsidRPr="000202DB">
        <w:t xml:space="preserve">nvironmental </w:t>
      </w:r>
      <w:r w:rsidR="005B0FC6" w:rsidRPr="000202DB">
        <w:t>considerations</w:t>
      </w:r>
      <w:r w:rsidR="00673E40" w:rsidRPr="000202DB">
        <w:t>. Vendors would</w:t>
      </w:r>
      <w:r w:rsidR="005B0FC6" w:rsidRPr="000202DB">
        <w:t xml:space="preserve"> need to </w:t>
      </w:r>
      <w:r w:rsidR="00CD1A04" w:rsidRPr="000202DB">
        <w:t>demonstrate how they meet or exceed Ontario’s environmental laws where the good or service is produced.</w:t>
      </w:r>
    </w:p>
    <w:p w14:paraId="2C69AF55" w14:textId="0FAB4E32" w:rsidR="003E1160" w:rsidRPr="000202DB" w:rsidRDefault="00CD1A04" w:rsidP="00264B5C">
      <w:pPr>
        <w:spacing w:after="240"/>
      </w:pPr>
      <w:r w:rsidRPr="000202DB">
        <w:t>The following are examples of sample questions that can be included in a procurement document and how the responses can be assessed.</w:t>
      </w:r>
    </w:p>
    <w:tbl>
      <w:tblPr>
        <w:tblStyle w:val="GridTable4-Accent1"/>
        <w:tblW w:w="5000" w:type="pct"/>
        <w:tblLook w:val="04A0" w:firstRow="1" w:lastRow="0" w:firstColumn="1" w:lastColumn="0" w:noHBand="0" w:noVBand="1"/>
        <w:tblCaption w:val="Table 9: Environmental and Sustainability"/>
        <w:tblDescription w:val="Examples of sample questions"/>
      </w:tblPr>
      <w:tblGrid>
        <w:gridCol w:w="4675"/>
        <w:gridCol w:w="4675"/>
      </w:tblGrid>
      <w:tr w:rsidR="00943BFC" w:rsidRPr="000202DB" w14:paraId="5BDF2581" w14:textId="77777777" w:rsidTr="00133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10F62FF" w14:textId="77777777" w:rsidR="003E1160" w:rsidRPr="000202DB" w:rsidRDefault="003E1160" w:rsidP="00264B5C">
            <w:pPr>
              <w:spacing w:before="120" w:after="120" w:line="240" w:lineRule="auto"/>
              <w:ind w:hanging="397"/>
              <w:jc w:val="center"/>
              <w:rPr>
                <w:rFonts w:eastAsia="Times New Roman" w:cs="Times New Roman"/>
                <w:b w:val="0"/>
                <w:bCs w:val="0"/>
                <w:szCs w:val="24"/>
                <w:lang w:eastAsia="en-CA"/>
              </w:rPr>
            </w:pPr>
            <w:r w:rsidRPr="000202DB">
              <w:t>Sample Questions</w:t>
            </w:r>
          </w:p>
        </w:tc>
        <w:tc>
          <w:tcPr>
            <w:tcW w:w="2500" w:type="pct"/>
          </w:tcPr>
          <w:p w14:paraId="4655926C" w14:textId="77777777" w:rsidR="003E1160" w:rsidRPr="000202DB" w:rsidRDefault="003E1160" w:rsidP="00264B5C">
            <w:pPr>
              <w:spacing w:before="120" w:after="120" w:line="240" w:lineRule="auto"/>
              <w:ind w:hanging="397"/>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lang w:eastAsia="en-CA"/>
              </w:rPr>
            </w:pPr>
            <w:r w:rsidRPr="000202DB">
              <w:t>What to Assess?</w:t>
            </w:r>
          </w:p>
        </w:tc>
      </w:tr>
      <w:tr w:rsidR="003E1160" w:rsidRPr="000202DB" w14:paraId="1A6E50E2" w14:textId="77777777" w:rsidTr="001331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325BD0D" w14:textId="77777777" w:rsidR="0017617F" w:rsidRPr="000202DB" w:rsidRDefault="0017617F" w:rsidP="00D255AC">
            <w:pPr>
              <w:pStyle w:val="ListParagraph"/>
              <w:numPr>
                <w:ilvl w:val="0"/>
                <w:numId w:val="18"/>
              </w:numPr>
              <w:spacing w:before="120" w:after="120" w:line="240" w:lineRule="auto"/>
              <w:ind w:left="0" w:hanging="397"/>
              <w:contextualSpacing w:val="0"/>
              <w:rPr>
                <w:rFonts w:eastAsia="Times New Roman" w:cs="Times New Roman"/>
                <w:b w:val="0"/>
                <w:bCs w:val="0"/>
                <w:szCs w:val="24"/>
                <w:lang w:eastAsia="en-CA"/>
              </w:rPr>
            </w:pPr>
            <w:r w:rsidRPr="000202DB">
              <w:rPr>
                <w:rFonts w:eastAsia="Times New Roman" w:cs="Times New Roman"/>
                <w:b w:val="0"/>
                <w:bCs w:val="0"/>
                <w:szCs w:val="24"/>
                <w:lang w:eastAsia="en-CA"/>
              </w:rPr>
              <w:t>Provide your organization’s written environmental policy?</w:t>
            </w:r>
          </w:p>
          <w:p w14:paraId="39D28D04" w14:textId="77777777" w:rsidR="0017617F" w:rsidRPr="000202DB" w:rsidRDefault="0017617F" w:rsidP="00D255AC">
            <w:pPr>
              <w:pStyle w:val="ListParagraph"/>
              <w:numPr>
                <w:ilvl w:val="0"/>
                <w:numId w:val="18"/>
              </w:numPr>
              <w:spacing w:before="120" w:after="120" w:line="240" w:lineRule="auto"/>
              <w:ind w:left="0" w:hanging="397"/>
              <w:contextualSpacing w:val="0"/>
              <w:rPr>
                <w:rFonts w:eastAsia="Times New Roman" w:cs="Times New Roman"/>
                <w:b w:val="0"/>
                <w:bCs w:val="0"/>
                <w:szCs w:val="24"/>
                <w:lang w:eastAsia="en-CA"/>
              </w:rPr>
            </w:pPr>
            <w:r w:rsidRPr="000202DB">
              <w:rPr>
                <w:rFonts w:eastAsia="Times New Roman" w:cs="Times New Roman"/>
                <w:b w:val="0"/>
                <w:bCs w:val="0"/>
                <w:szCs w:val="24"/>
                <w:lang w:eastAsia="en-CA"/>
              </w:rPr>
              <w:t>Provide evidence of compliance to Ontario’s environmental requirements. (e.g., recycling, waste management, etc.)</w:t>
            </w:r>
          </w:p>
          <w:p w14:paraId="5D789E81" w14:textId="77777777" w:rsidR="0017617F" w:rsidRPr="000202DB" w:rsidRDefault="0017617F" w:rsidP="00D255AC">
            <w:pPr>
              <w:pStyle w:val="ListParagraph"/>
              <w:numPr>
                <w:ilvl w:val="0"/>
                <w:numId w:val="18"/>
              </w:numPr>
              <w:spacing w:before="120" w:after="120" w:line="240" w:lineRule="auto"/>
              <w:ind w:left="0" w:hanging="397"/>
              <w:contextualSpacing w:val="0"/>
              <w:rPr>
                <w:rFonts w:eastAsia="Times New Roman" w:cs="Times New Roman"/>
                <w:b w:val="0"/>
                <w:bCs w:val="0"/>
                <w:szCs w:val="24"/>
                <w:lang w:eastAsia="en-CA"/>
              </w:rPr>
            </w:pPr>
            <w:r w:rsidRPr="000202DB">
              <w:rPr>
                <w:rFonts w:eastAsia="Times New Roman" w:cs="Times New Roman"/>
                <w:b w:val="0"/>
                <w:bCs w:val="0"/>
                <w:szCs w:val="24"/>
                <w:lang w:eastAsia="en-CA"/>
              </w:rPr>
              <w:t>Provide a third-party report on your environmental performance.</w:t>
            </w:r>
          </w:p>
          <w:p w14:paraId="7765A2B6" w14:textId="77777777" w:rsidR="0017617F" w:rsidRPr="000202DB" w:rsidRDefault="0017617F" w:rsidP="00D255AC">
            <w:pPr>
              <w:pStyle w:val="ListParagraph"/>
              <w:numPr>
                <w:ilvl w:val="0"/>
                <w:numId w:val="18"/>
              </w:numPr>
              <w:spacing w:before="120" w:after="120" w:line="240" w:lineRule="auto"/>
              <w:ind w:left="0" w:hanging="397"/>
              <w:contextualSpacing w:val="0"/>
              <w:rPr>
                <w:rFonts w:eastAsia="Times New Roman" w:cs="Times New Roman"/>
                <w:b w:val="0"/>
                <w:bCs w:val="0"/>
                <w:szCs w:val="24"/>
                <w:lang w:eastAsia="en-CA"/>
              </w:rPr>
            </w:pPr>
            <w:r w:rsidRPr="000202DB">
              <w:rPr>
                <w:rFonts w:eastAsia="Times New Roman" w:cs="Times New Roman"/>
                <w:b w:val="0"/>
                <w:bCs w:val="0"/>
                <w:szCs w:val="24"/>
                <w:lang w:eastAsia="en-CA"/>
              </w:rPr>
              <w:t>Does the company have ISO 140001 certification (the international standard that specifies requirements for an effective environmental management system) or equivalent?</w:t>
            </w:r>
          </w:p>
          <w:p w14:paraId="112016E2" w14:textId="77777777" w:rsidR="0017617F" w:rsidRPr="000202DB" w:rsidRDefault="0017617F" w:rsidP="00D255AC">
            <w:pPr>
              <w:pStyle w:val="ListParagraph"/>
              <w:numPr>
                <w:ilvl w:val="0"/>
                <w:numId w:val="18"/>
              </w:numPr>
              <w:spacing w:before="120" w:after="120" w:line="240" w:lineRule="auto"/>
              <w:ind w:left="0" w:hanging="397"/>
              <w:contextualSpacing w:val="0"/>
              <w:rPr>
                <w:rFonts w:eastAsia="Times New Roman" w:cs="Times New Roman"/>
                <w:b w:val="0"/>
                <w:bCs w:val="0"/>
                <w:szCs w:val="24"/>
                <w:lang w:eastAsia="en-CA"/>
              </w:rPr>
            </w:pPr>
            <w:r w:rsidRPr="000202DB">
              <w:rPr>
                <w:rFonts w:eastAsia="Times New Roman" w:cs="Times New Roman"/>
                <w:b w:val="0"/>
                <w:bCs w:val="0"/>
                <w:szCs w:val="24"/>
                <w:lang w:eastAsia="en-CA"/>
              </w:rPr>
              <w:t>Is your product made from renewable resources?</w:t>
            </w:r>
          </w:p>
          <w:p w14:paraId="0F31940A" w14:textId="171A8BD5" w:rsidR="003E1160" w:rsidRPr="000202DB" w:rsidRDefault="0017617F" w:rsidP="00D255AC">
            <w:pPr>
              <w:pStyle w:val="ListParagraph"/>
              <w:numPr>
                <w:ilvl w:val="0"/>
                <w:numId w:val="18"/>
              </w:numPr>
              <w:spacing w:before="120" w:after="120" w:line="240" w:lineRule="auto"/>
              <w:ind w:left="0" w:hanging="397"/>
              <w:contextualSpacing w:val="0"/>
              <w:rPr>
                <w:rFonts w:eastAsia="Times New Roman" w:cs="Times New Roman"/>
                <w:b w:val="0"/>
                <w:bCs w:val="0"/>
                <w:szCs w:val="24"/>
                <w:lang w:eastAsia="en-CA"/>
              </w:rPr>
            </w:pPr>
            <w:r w:rsidRPr="000202DB">
              <w:rPr>
                <w:rFonts w:eastAsia="Times New Roman" w:cs="Times New Roman"/>
                <w:b w:val="0"/>
                <w:bCs w:val="0"/>
                <w:szCs w:val="24"/>
                <w:lang w:eastAsia="en-CA"/>
              </w:rPr>
              <w:t>Describe your organization’s waste management policy?</w:t>
            </w:r>
          </w:p>
        </w:tc>
        <w:tc>
          <w:tcPr>
            <w:tcW w:w="2500" w:type="pct"/>
          </w:tcPr>
          <w:p w14:paraId="78020C08" w14:textId="59F3F182" w:rsidR="00160652" w:rsidRPr="000202DB" w:rsidRDefault="00160652" w:rsidP="00D255AC">
            <w:pPr>
              <w:pStyle w:val="ListParagraph"/>
              <w:numPr>
                <w:ilvl w:val="0"/>
                <w:numId w:val="19"/>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rsidRPr="000202DB">
              <w:rPr>
                <w:szCs w:val="24"/>
              </w:rPr>
              <w:t>Vendors have an environmental policy in place.</w:t>
            </w:r>
          </w:p>
          <w:p w14:paraId="01949362" w14:textId="0BD89B3E" w:rsidR="00160652" w:rsidRPr="000202DB" w:rsidRDefault="00160652" w:rsidP="00D255AC">
            <w:pPr>
              <w:pStyle w:val="ListParagraph"/>
              <w:numPr>
                <w:ilvl w:val="0"/>
                <w:numId w:val="19"/>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rsidRPr="000202DB">
              <w:rPr>
                <w:szCs w:val="24"/>
              </w:rPr>
              <w:t>Vendor complies with Ontario’s environmental requirements.</w:t>
            </w:r>
          </w:p>
          <w:p w14:paraId="3BE6CF79" w14:textId="6F215F58" w:rsidR="00160652" w:rsidRPr="000202DB" w:rsidRDefault="00160652" w:rsidP="00D255AC">
            <w:pPr>
              <w:pStyle w:val="ListParagraph"/>
              <w:numPr>
                <w:ilvl w:val="0"/>
                <w:numId w:val="19"/>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rsidRPr="000202DB">
              <w:rPr>
                <w:szCs w:val="24"/>
              </w:rPr>
              <w:t>Vendor is compliant with existing Ontario environmental requirements (e.g., Disposal of hazardous materials).</w:t>
            </w:r>
          </w:p>
          <w:p w14:paraId="20B229A1" w14:textId="1B8B8C8E" w:rsidR="00160652" w:rsidRPr="000202DB" w:rsidRDefault="00160652" w:rsidP="00D255AC">
            <w:pPr>
              <w:pStyle w:val="ListParagraph"/>
              <w:numPr>
                <w:ilvl w:val="0"/>
                <w:numId w:val="19"/>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rsidRPr="000202DB">
              <w:rPr>
                <w:szCs w:val="24"/>
              </w:rPr>
              <w:t>Vendor has a certified environmental management system like ISO 140001 or another recognized certification.</w:t>
            </w:r>
          </w:p>
          <w:p w14:paraId="6DF3CE2B" w14:textId="77441983" w:rsidR="00160652" w:rsidRPr="000202DB" w:rsidRDefault="00160652" w:rsidP="00D255AC">
            <w:pPr>
              <w:pStyle w:val="ListParagraph"/>
              <w:numPr>
                <w:ilvl w:val="0"/>
                <w:numId w:val="19"/>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rsidRPr="000202DB">
              <w:rPr>
                <w:szCs w:val="24"/>
              </w:rPr>
              <w:t>Vendor’s products are produced using sustainable/renewable resources.</w:t>
            </w:r>
          </w:p>
          <w:p w14:paraId="52DD9A1E" w14:textId="10E40B11" w:rsidR="003E1160" w:rsidRPr="000202DB" w:rsidRDefault="00160652" w:rsidP="00D255AC">
            <w:pPr>
              <w:pStyle w:val="ListParagraph"/>
              <w:numPr>
                <w:ilvl w:val="0"/>
                <w:numId w:val="19"/>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rsidRPr="000202DB">
              <w:rPr>
                <w:szCs w:val="24"/>
              </w:rPr>
              <w:t>Vendor’s waste management policy meets Ontario/Canada’s waste policy requirements.</w:t>
            </w:r>
          </w:p>
        </w:tc>
      </w:tr>
    </w:tbl>
    <w:p w14:paraId="6EC7D907" w14:textId="6F350015" w:rsidR="00CD1A04" w:rsidRPr="000202DB" w:rsidRDefault="00CD1A04" w:rsidP="00264B5C">
      <w:pPr>
        <w:spacing w:before="0" w:line="259" w:lineRule="auto"/>
        <w:rPr>
          <w:rFonts w:eastAsia="Times New Roman" w:cs="Times New Roman"/>
          <w:szCs w:val="24"/>
          <w:lang w:eastAsia="en-CA"/>
        </w:rPr>
      </w:pPr>
    </w:p>
    <w:p w14:paraId="40595AC2" w14:textId="1972D1D3" w:rsidR="00CD1A04" w:rsidRPr="000202DB" w:rsidRDefault="00464908" w:rsidP="0075412A">
      <w:pPr>
        <w:pStyle w:val="Heading3"/>
      </w:pPr>
      <w:bookmarkStart w:id="52" w:name="_Toc90037139"/>
      <w:r w:rsidRPr="000202DB">
        <w:t xml:space="preserve">Local </w:t>
      </w:r>
      <w:r w:rsidR="00CD1A04" w:rsidRPr="000202DB">
        <w:t>Material/Content</w:t>
      </w:r>
      <w:bookmarkEnd w:id="52"/>
      <w:r w:rsidR="00CD1A04" w:rsidRPr="000202DB">
        <w:t xml:space="preserve"> </w:t>
      </w:r>
    </w:p>
    <w:p w14:paraId="3EFB9B52" w14:textId="06EB958F" w:rsidR="00CD1A04" w:rsidRPr="000202DB" w:rsidRDefault="00CD1A04" w:rsidP="0024562E">
      <w:pPr>
        <w:spacing w:after="240" w:line="240" w:lineRule="auto"/>
        <w:rPr>
          <w:rFonts w:eastAsia="Times New Roman" w:cs="Times New Roman"/>
          <w:color w:val="006E81" w:themeColor="text2"/>
          <w:szCs w:val="24"/>
          <w:lang w:eastAsia="en-CA"/>
        </w:rPr>
      </w:pPr>
      <w:r w:rsidRPr="000202DB">
        <w:rPr>
          <w:rFonts w:eastAsiaTheme="majorEastAsia" w:cstheme="majorBidi"/>
          <w:b/>
          <w:bCs/>
          <w:color w:val="006E81" w:themeColor="text2"/>
          <w:szCs w:val="24"/>
          <w:lang w:eastAsia="en-CA"/>
        </w:rPr>
        <w:t>When to Use</w:t>
      </w:r>
    </w:p>
    <w:p w14:paraId="55826045" w14:textId="3A3E2415" w:rsidR="00CD1A04" w:rsidRPr="000202DB" w:rsidRDefault="00E43837" w:rsidP="0024562E">
      <w:pPr>
        <w:spacing w:after="240" w:line="240" w:lineRule="auto"/>
      </w:pPr>
      <w:r w:rsidRPr="000202DB">
        <w:lastRenderedPageBreak/>
        <w:t>Include</w:t>
      </w:r>
      <w:r w:rsidR="00CD1A04" w:rsidRPr="000202DB">
        <w:t xml:space="preserve"> in procurements of goods and services </w:t>
      </w:r>
      <w:r w:rsidR="00881581" w:rsidRPr="000202DB">
        <w:t>which may</w:t>
      </w:r>
      <w:r w:rsidR="00CD1A04" w:rsidRPr="000202DB">
        <w:t xml:space="preserve"> require that vendors use local materials </w:t>
      </w:r>
      <w:r w:rsidR="00450F83" w:rsidRPr="000202DB">
        <w:t xml:space="preserve">from Ontario or within Canada </w:t>
      </w:r>
      <w:r w:rsidR="00CD1A04" w:rsidRPr="000202DB">
        <w:t>for goods</w:t>
      </w:r>
      <w:r w:rsidR="007738EC" w:rsidRPr="000202DB">
        <w:t xml:space="preserve"> and/or resources</w:t>
      </w:r>
      <w:r w:rsidR="00CD1A04" w:rsidRPr="000202DB">
        <w:t>, which may in turn contribute to potential job creation, small business development, and community revitalization.</w:t>
      </w:r>
    </w:p>
    <w:p w14:paraId="678C828D" w14:textId="796EB4EA" w:rsidR="00257B37" w:rsidRPr="000202DB" w:rsidRDefault="7A162103" w:rsidP="00264B5C">
      <w:pPr>
        <w:spacing w:after="240"/>
      </w:pPr>
      <w:r w:rsidRPr="000202DB">
        <w:t>The following are examples of sample questions that can be included in a procurement document and how the responses can be assessed.</w:t>
      </w:r>
    </w:p>
    <w:tbl>
      <w:tblPr>
        <w:tblStyle w:val="GridTable4-Accent1"/>
        <w:tblW w:w="5000" w:type="pct"/>
        <w:tblLook w:val="04A0" w:firstRow="1" w:lastRow="0" w:firstColumn="1" w:lastColumn="0" w:noHBand="0" w:noVBand="1"/>
        <w:tblCaption w:val="Table 10: Local Material/Content"/>
        <w:tblDescription w:val="Examples of sample questions"/>
      </w:tblPr>
      <w:tblGrid>
        <w:gridCol w:w="5098"/>
        <w:gridCol w:w="4252"/>
      </w:tblGrid>
      <w:tr w:rsidR="00943BFC" w:rsidRPr="000202DB" w14:paraId="5C295B5A" w14:textId="77777777" w:rsidTr="00133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6" w:type="pct"/>
          </w:tcPr>
          <w:p w14:paraId="7EA7360E" w14:textId="77777777" w:rsidR="00257B37" w:rsidRPr="000202DB" w:rsidRDefault="00257B37" w:rsidP="00264B5C">
            <w:pPr>
              <w:spacing w:before="120" w:after="120" w:line="240" w:lineRule="auto"/>
              <w:ind w:hanging="397"/>
              <w:jc w:val="center"/>
              <w:rPr>
                <w:rFonts w:eastAsia="Times New Roman" w:cs="Times New Roman"/>
                <w:b w:val="0"/>
                <w:bCs w:val="0"/>
                <w:szCs w:val="24"/>
                <w:lang w:eastAsia="en-CA"/>
              </w:rPr>
            </w:pPr>
            <w:r w:rsidRPr="000202DB">
              <w:t>Sample Questions</w:t>
            </w:r>
          </w:p>
        </w:tc>
        <w:tc>
          <w:tcPr>
            <w:tcW w:w="2274" w:type="pct"/>
          </w:tcPr>
          <w:p w14:paraId="6FD1BC15" w14:textId="77777777" w:rsidR="00257B37" w:rsidRPr="000202DB" w:rsidRDefault="00257B37" w:rsidP="00264B5C">
            <w:pPr>
              <w:spacing w:before="120" w:after="120" w:line="240" w:lineRule="auto"/>
              <w:ind w:hanging="397"/>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lang w:eastAsia="en-CA"/>
              </w:rPr>
            </w:pPr>
            <w:r w:rsidRPr="000202DB">
              <w:t>What to Assess?</w:t>
            </w:r>
          </w:p>
        </w:tc>
      </w:tr>
      <w:tr w:rsidR="00257B37" w:rsidRPr="000202DB" w14:paraId="76E19034" w14:textId="77777777" w:rsidTr="001331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6" w:type="pct"/>
          </w:tcPr>
          <w:p w14:paraId="70E67F7C" w14:textId="77777777" w:rsidR="00FE6C44" w:rsidRPr="000202DB" w:rsidRDefault="00FE6C44" w:rsidP="00D255AC">
            <w:pPr>
              <w:pStyle w:val="ListParagraph"/>
              <w:numPr>
                <w:ilvl w:val="0"/>
                <w:numId w:val="20"/>
              </w:numPr>
              <w:spacing w:before="120" w:after="120" w:line="240" w:lineRule="auto"/>
              <w:ind w:left="0" w:hanging="397"/>
              <w:contextualSpacing w:val="0"/>
              <w:rPr>
                <w:rFonts w:eastAsia="Times New Roman" w:cs="Times New Roman"/>
                <w:b w:val="0"/>
                <w:bCs w:val="0"/>
                <w:szCs w:val="24"/>
                <w:lang w:eastAsia="en-CA"/>
              </w:rPr>
            </w:pPr>
            <w:r w:rsidRPr="000202DB">
              <w:rPr>
                <w:rFonts w:eastAsia="Times New Roman" w:cs="Times New Roman"/>
                <w:b w:val="0"/>
                <w:bCs w:val="0"/>
                <w:szCs w:val="24"/>
                <w:lang w:eastAsia="en-CA"/>
              </w:rPr>
              <w:t>Does your organization have a program that benefits local Ontario communities? If so, please describe how your organization benefits local Ontario communities?</w:t>
            </w:r>
          </w:p>
          <w:p w14:paraId="55B5A032" w14:textId="77777777" w:rsidR="00FE6C44" w:rsidRPr="000202DB" w:rsidRDefault="00FE6C44" w:rsidP="00D255AC">
            <w:pPr>
              <w:pStyle w:val="ListParagraph"/>
              <w:numPr>
                <w:ilvl w:val="0"/>
                <w:numId w:val="20"/>
              </w:numPr>
              <w:spacing w:before="120" w:after="120" w:line="240" w:lineRule="auto"/>
              <w:ind w:left="0" w:hanging="397"/>
              <w:contextualSpacing w:val="0"/>
              <w:rPr>
                <w:rFonts w:eastAsia="Times New Roman" w:cs="Times New Roman"/>
                <w:b w:val="0"/>
                <w:bCs w:val="0"/>
                <w:szCs w:val="24"/>
                <w:lang w:eastAsia="en-CA"/>
              </w:rPr>
            </w:pPr>
            <w:r w:rsidRPr="000202DB">
              <w:rPr>
                <w:rFonts w:eastAsia="Times New Roman" w:cs="Times New Roman"/>
                <w:b w:val="0"/>
                <w:bCs w:val="0"/>
                <w:szCs w:val="24"/>
                <w:lang w:eastAsia="en-CA"/>
              </w:rPr>
              <w:t>Does your organization have a defined yearly target allocated exclusively to benefit a sector or sectors in your local Ontario community? If so, what is your annual target?</w:t>
            </w:r>
          </w:p>
          <w:p w14:paraId="33CF8A96" w14:textId="77777777" w:rsidR="00FE6C44" w:rsidRPr="000202DB" w:rsidRDefault="00FE6C44" w:rsidP="00D255AC">
            <w:pPr>
              <w:pStyle w:val="ListParagraph"/>
              <w:numPr>
                <w:ilvl w:val="0"/>
                <w:numId w:val="20"/>
              </w:numPr>
              <w:spacing w:before="120" w:after="120" w:line="240" w:lineRule="auto"/>
              <w:ind w:left="0" w:hanging="397"/>
              <w:contextualSpacing w:val="0"/>
              <w:rPr>
                <w:rFonts w:eastAsia="Times New Roman" w:cs="Times New Roman"/>
                <w:b w:val="0"/>
                <w:bCs w:val="0"/>
                <w:szCs w:val="24"/>
                <w:lang w:eastAsia="en-CA"/>
              </w:rPr>
            </w:pPr>
            <w:r w:rsidRPr="000202DB">
              <w:rPr>
                <w:rFonts w:eastAsia="Times New Roman" w:cs="Times New Roman"/>
                <w:b w:val="0"/>
                <w:bCs w:val="0"/>
                <w:szCs w:val="24"/>
                <w:lang w:eastAsia="en-CA"/>
              </w:rPr>
              <w:t xml:space="preserve">Identify the name or names of the organization/s in your local Ontario community that have benefited from your organization's local community program/s and describe how these local community organizations benefit from your program. </w:t>
            </w:r>
          </w:p>
          <w:p w14:paraId="441A4A9E" w14:textId="3C046FF6" w:rsidR="00257B37" w:rsidRPr="000202DB" w:rsidRDefault="00FE6C44" w:rsidP="00D255AC">
            <w:pPr>
              <w:pStyle w:val="ListParagraph"/>
              <w:numPr>
                <w:ilvl w:val="0"/>
                <w:numId w:val="20"/>
              </w:numPr>
              <w:spacing w:before="120" w:after="120" w:line="240" w:lineRule="auto"/>
              <w:ind w:left="0" w:hanging="397"/>
              <w:contextualSpacing w:val="0"/>
              <w:rPr>
                <w:rFonts w:eastAsia="Times New Roman" w:cs="Times New Roman"/>
                <w:b w:val="0"/>
                <w:bCs w:val="0"/>
                <w:szCs w:val="24"/>
                <w:lang w:eastAsia="en-CA"/>
              </w:rPr>
            </w:pPr>
            <w:r w:rsidRPr="000202DB">
              <w:rPr>
                <w:rFonts w:eastAsia="Times New Roman" w:cs="Times New Roman"/>
                <w:b w:val="0"/>
                <w:bCs w:val="0"/>
                <w:szCs w:val="24"/>
                <w:lang w:eastAsia="en-CA"/>
              </w:rPr>
              <w:t>Does your organization have an apprenticeship program that benefits an Ontario learning institution?</w:t>
            </w:r>
          </w:p>
        </w:tc>
        <w:tc>
          <w:tcPr>
            <w:tcW w:w="2274" w:type="pct"/>
          </w:tcPr>
          <w:p w14:paraId="2BB7DF37" w14:textId="1746FFAA" w:rsidR="00745998" w:rsidRPr="000202DB" w:rsidRDefault="00745998" w:rsidP="00D255AC">
            <w:pPr>
              <w:pStyle w:val="ListParagraph"/>
              <w:numPr>
                <w:ilvl w:val="0"/>
                <w:numId w:val="21"/>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rsidRPr="000202DB">
              <w:rPr>
                <w:szCs w:val="24"/>
              </w:rPr>
              <w:t xml:space="preserve">Vendor has an existing program/policy that benefits the local community. </w:t>
            </w:r>
          </w:p>
          <w:p w14:paraId="47FB16B3" w14:textId="09C63EE4" w:rsidR="00745998" w:rsidRPr="000202DB" w:rsidRDefault="00745998" w:rsidP="00D255AC">
            <w:pPr>
              <w:pStyle w:val="ListParagraph"/>
              <w:numPr>
                <w:ilvl w:val="0"/>
                <w:numId w:val="21"/>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rsidRPr="000202DB">
              <w:rPr>
                <w:szCs w:val="24"/>
              </w:rPr>
              <w:t>Vendor has a yearly financial commitment which supports the local economy which may include monetary value/target, volunteer hours, other in-kind resources and supports (e.g., internship, apprenticeship, etc.).</w:t>
            </w:r>
          </w:p>
          <w:p w14:paraId="06A2A314" w14:textId="6DCEF545" w:rsidR="00745998" w:rsidRPr="000202DB" w:rsidRDefault="00745998" w:rsidP="00D255AC">
            <w:pPr>
              <w:pStyle w:val="ListParagraph"/>
              <w:numPr>
                <w:ilvl w:val="0"/>
                <w:numId w:val="21"/>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rsidRPr="000202DB">
              <w:rPr>
                <w:szCs w:val="24"/>
              </w:rPr>
              <w:t>Vendor has an existing partnership with local schools and universities.</w:t>
            </w:r>
          </w:p>
          <w:p w14:paraId="7C3ACD43" w14:textId="2856E5C6" w:rsidR="00257B37" w:rsidRPr="000202DB" w:rsidRDefault="00745998" w:rsidP="00D255AC">
            <w:pPr>
              <w:pStyle w:val="ListParagraph"/>
              <w:numPr>
                <w:ilvl w:val="0"/>
                <w:numId w:val="21"/>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rsidRPr="000202DB">
              <w:rPr>
                <w:szCs w:val="24"/>
              </w:rPr>
              <w:t>Company apprenticeship program and/or agreement can be viewed.</w:t>
            </w:r>
          </w:p>
        </w:tc>
      </w:tr>
    </w:tbl>
    <w:p w14:paraId="1237866B" w14:textId="70293BB8" w:rsidR="00CD1A04" w:rsidRPr="00927FD8" w:rsidRDefault="00CD1A04" w:rsidP="0075412A">
      <w:pPr>
        <w:pStyle w:val="Heading3"/>
      </w:pPr>
      <w:bookmarkStart w:id="53" w:name="_Toc90037140"/>
      <w:r w:rsidRPr="00927FD8">
        <w:t>Landed</w:t>
      </w:r>
      <w:r w:rsidR="007E18F0" w:rsidRPr="00927FD8">
        <w:t xml:space="preserve"> Cost and </w:t>
      </w:r>
      <w:r w:rsidRPr="00927FD8">
        <w:t>Emissions</w:t>
      </w:r>
      <w:bookmarkEnd w:id="53"/>
    </w:p>
    <w:p w14:paraId="772C780E" w14:textId="054B9304" w:rsidR="00CD1A04" w:rsidRPr="000202DB" w:rsidRDefault="00CD1A04" w:rsidP="008F6DE1">
      <w:pPr>
        <w:spacing w:after="240" w:line="240" w:lineRule="auto"/>
        <w:rPr>
          <w:rFonts w:eastAsiaTheme="majorEastAsia" w:cstheme="majorBidi"/>
          <w:b/>
          <w:bCs/>
          <w:color w:val="006E81" w:themeColor="text2"/>
          <w:szCs w:val="24"/>
          <w:lang w:eastAsia="en-CA"/>
        </w:rPr>
      </w:pPr>
      <w:r w:rsidRPr="000202DB">
        <w:rPr>
          <w:rFonts w:eastAsiaTheme="majorEastAsia" w:cstheme="majorBidi"/>
          <w:b/>
          <w:bCs/>
          <w:color w:val="006E81" w:themeColor="text2"/>
          <w:szCs w:val="24"/>
          <w:lang w:eastAsia="en-CA"/>
        </w:rPr>
        <w:t>When to Use</w:t>
      </w:r>
    </w:p>
    <w:p w14:paraId="3841D63D" w14:textId="217A5F1B" w:rsidR="0014671E" w:rsidRPr="000202DB" w:rsidRDefault="00CF18CA" w:rsidP="008F6DE1">
      <w:pPr>
        <w:spacing w:after="240" w:line="240" w:lineRule="auto"/>
      </w:pPr>
      <w:r w:rsidRPr="000202DB">
        <w:t>Include</w:t>
      </w:r>
      <w:r w:rsidR="0014671E" w:rsidRPr="000202DB">
        <w:t xml:space="preserve"> in procurements of goods and services </w:t>
      </w:r>
      <w:r w:rsidR="00943160" w:rsidRPr="000202DB">
        <w:t>which may directly</w:t>
      </w:r>
      <w:r w:rsidR="003F1748" w:rsidRPr="000202DB">
        <w:t xml:space="preserve">/indirectly </w:t>
      </w:r>
      <w:r w:rsidR="007805D2" w:rsidRPr="000202DB">
        <w:t>impact</w:t>
      </w:r>
      <w:r w:rsidR="00843B44" w:rsidRPr="000202DB">
        <w:t xml:space="preserve"> </w:t>
      </w:r>
      <w:r w:rsidR="003F1748" w:rsidRPr="000202DB">
        <w:t xml:space="preserve">landed </w:t>
      </w:r>
      <w:r w:rsidR="00833E51">
        <w:t xml:space="preserve">cost and </w:t>
      </w:r>
      <w:r w:rsidR="003F1748" w:rsidRPr="000202DB">
        <w:t>emission</w:t>
      </w:r>
      <w:r w:rsidR="00833E51">
        <w:t>s</w:t>
      </w:r>
      <w:r w:rsidR="00843B44" w:rsidRPr="000202DB">
        <w:t xml:space="preserve">, fossil </w:t>
      </w:r>
      <w:r w:rsidR="00AD21B4" w:rsidRPr="000202DB">
        <w:t>fuels</w:t>
      </w:r>
      <w:r w:rsidR="00843B44" w:rsidRPr="000202DB">
        <w:t xml:space="preserve"> and other sources of </w:t>
      </w:r>
      <w:r w:rsidR="00AD21B4" w:rsidRPr="000202DB">
        <w:t>greenhouse</w:t>
      </w:r>
      <w:r w:rsidR="00843B44" w:rsidRPr="000202DB">
        <w:t xml:space="preserve"> </w:t>
      </w:r>
      <w:r w:rsidR="007805D2" w:rsidRPr="000202DB">
        <w:t>gases through</w:t>
      </w:r>
      <w:r w:rsidR="00AD21B4" w:rsidRPr="000202DB">
        <w:t xml:space="preserve"> a </w:t>
      </w:r>
      <w:r w:rsidR="009C28B8" w:rsidRPr="000202DB">
        <w:t>vendor’s</w:t>
      </w:r>
      <w:r w:rsidR="00AD21B4" w:rsidRPr="000202DB">
        <w:t xml:space="preserve"> choice of </w:t>
      </w:r>
      <w:r w:rsidR="0014671E" w:rsidRPr="000202DB">
        <w:t xml:space="preserve">transportation/provision of goods or services, e.g., CO2 </w:t>
      </w:r>
      <w:r w:rsidR="00E86C21" w:rsidRPr="000202DB">
        <w:t>e</w:t>
      </w:r>
      <w:r w:rsidR="0014671E" w:rsidRPr="000202DB">
        <w:t>missions.</w:t>
      </w:r>
    </w:p>
    <w:p w14:paraId="1960CDBC" w14:textId="50475356" w:rsidR="0090388A" w:rsidRPr="000202DB" w:rsidRDefault="0014671E" w:rsidP="00264B5C">
      <w:pPr>
        <w:spacing w:after="240"/>
      </w:pPr>
      <w:r w:rsidRPr="000202DB">
        <w:lastRenderedPageBreak/>
        <w:t>The following are examples of sample questions that can be included in a procurement document and how the responses can be assessed.</w:t>
      </w:r>
    </w:p>
    <w:tbl>
      <w:tblPr>
        <w:tblStyle w:val="GridTable4-Accent1"/>
        <w:tblW w:w="5000" w:type="pct"/>
        <w:tblLook w:val="04A0" w:firstRow="1" w:lastRow="0" w:firstColumn="1" w:lastColumn="0" w:noHBand="0" w:noVBand="1"/>
        <w:tblCaption w:val="Table 11: Landed Emissions"/>
        <w:tblDescription w:val="Examples of sample questions"/>
      </w:tblPr>
      <w:tblGrid>
        <w:gridCol w:w="4675"/>
        <w:gridCol w:w="4675"/>
      </w:tblGrid>
      <w:tr w:rsidR="0090388A" w:rsidRPr="000202DB" w14:paraId="37D94B06" w14:textId="77777777" w:rsidTr="00133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78145F9" w14:textId="77777777" w:rsidR="0090388A" w:rsidRPr="000202DB" w:rsidRDefault="0090388A" w:rsidP="00264B5C">
            <w:pPr>
              <w:spacing w:before="120" w:after="120" w:line="240" w:lineRule="auto"/>
              <w:ind w:hanging="397"/>
              <w:jc w:val="center"/>
              <w:rPr>
                <w:rFonts w:eastAsia="Times New Roman" w:cs="Times New Roman"/>
                <w:b w:val="0"/>
                <w:bCs w:val="0"/>
                <w:szCs w:val="24"/>
                <w:lang w:eastAsia="en-CA"/>
              </w:rPr>
            </w:pPr>
            <w:r w:rsidRPr="000202DB">
              <w:t>Sample Questions</w:t>
            </w:r>
          </w:p>
        </w:tc>
        <w:tc>
          <w:tcPr>
            <w:tcW w:w="2500" w:type="pct"/>
          </w:tcPr>
          <w:p w14:paraId="05661250" w14:textId="77777777" w:rsidR="0090388A" w:rsidRPr="000202DB" w:rsidRDefault="0090388A" w:rsidP="00264B5C">
            <w:pPr>
              <w:spacing w:before="120" w:after="120" w:line="240" w:lineRule="auto"/>
              <w:ind w:hanging="397"/>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lang w:eastAsia="en-CA"/>
              </w:rPr>
            </w:pPr>
            <w:r w:rsidRPr="000202DB">
              <w:t>What to Assess?</w:t>
            </w:r>
          </w:p>
        </w:tc>
      </w:tr>
      <w:tr w:rsidR="0090388A" w:rsidRPr="000202DB" w14:paraId="644392A6" w14:textId="77777777" w:rsidTr="001331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4FD6DD3" w14:textId="77777777" w:rsidR="00647532" w:rsidRPr="000202DB" w:rsidRDefault="00647532" w:rsidP="00D255AC">
            <w:pPr>
              <w:pStyle w:val="ListParagraph"/>
              <w:numPr>
                <w:ilvl w:val="0"/>
                <w:numId w:val="22"/>
              </w:numPr>
              <w:spacing w:before="120" w:after="120" w:line="240" w:lineRule="auto"/>
              <w:ind w:left="0" w:hanging="397"/>
              <w:contextualSpacing w:val="0"/>
              <w:rPr>
                <w:rFonts w:eastAsia="Times New Roman" w:cs="Times New Roman"/>
                <w:b w:val="0"/>
                <w:bCs w:val="0"/>
                <w:szCs w:val="24"/>
                <w:lang w:eastAsia="en-CA"/>
              </w:rPr>
            </w:pPr>
            <w:r w:rsidRPr="000202DB">
              <w:rPr>
                <w:rFonts w:eastAsia="Times New Roman" w:cs="Times New Roman"/>
                <w:b w:val="0"/>
                <w:bCs w:val="0"/>
                <w:szCs w:val="24"/>
                <w:lang w:eastAsia="en-CA"/>
              </w:rPr>
              <w:t>Can you provide a copy of your organization’s environmental policies?</w:t>
            </w:r>
          </w:p>
          <w:p w14:paraId="696B1336" w14:textId="77777777" w:rsidR="00647532" w:rsidRPr="000202DB" w:rsidRDefault="00647532" w:rsidP="00D255AC">
            <w:pPr>
              <w:pStyle w:val="ListParagraph"/>
              <w:numPr>
                <w:ilvl w:val="0"/>
                <w:numId w:val="22"/>
              </w:numPr>
              <w:spacing w:before="120" w:after="120" w:line="240" w:lineRule="auto"/>
              <w:ind w:left="0" w:hanging="397"/>
              <w:contextualSpacing w:val="0"/>
              <w:rPr>
                <w:rFonts w:eastAsia="Times New Roman" w:cs="Times New Roman"/>
                <w:b w:val="0"/>
                <w:bCs w:val="0"/>
                <w:szCs w:val="24"/>
                <w:lang w:eastAsia="en-CA"/>
              </w:rPr>
            </w:pPr>
            <w:r w:rsidRPr="000202DB">
              <w:rPr>
                <w:rFonts w:eastAsia="Times New Roman" w:cs="Times New Roman"/>
                <w:b w:val="0"/>
                <w:bCs w:val="0"/>
                <w:szCs w:val="24"/>
                <w:lang w:eastAsia="en-CA"/>
              </w:rPr>
              <w:t xml:space="preserve">What distance will be travelled to transport the required goods and services to the location(s) where they are needed? </w:t>
            </w:r>
          </w:p>
          <w:p w14:paraId="57B3B48A" w14:textId="4BCCFD78" w:rsidR="0090388A" w:rsidRPr="000202DB" w:rsidRDefault="00647532" w:rsidP="00D255AC">
            <w:pPr>
              <w:pStyle w:val="ListParagraph"/>
              <w:numPr>
                <w:ilvl w:val="0"/>
                <w:numId w:val="22"/>
              </w:numPr>
              <w:spacing w:before="120" w:after="120" w:line="240" w:lineRule="auto"/>
              <w:ind w:left="0" w:hanging="397"/>
              <w:contextualSpacing w:val="0"/>
              <w:rPr>
                <w:rFonts w:eastAsia="Times New Roman" w:cs="Times New Roman"/>
                <w:b w:val="0"/>
                <w:bCs w:val="0"/>
                <w:szCs w:val="24"/>
                <w:lang w:eastAsia="en-CA"/>
              </w:rPr>
            </w:pPr>
            <w:r w:rsidRPr="000202DB">
              <w:rPr>
                <w:rFonts w:eastAsia="Times New Roman" w:cs="Times New Roman"/>
                <w:b w:val="0"/>
                <w:bCs w:val="0"/>
                <w:szCs w:val="24"/>
                <w:lang w:eastAsia="en-CA"/>
              </w:rPr>
              <w:t>What transportation method will be used (i.e., rail, road, sea, air). What is the offset of any CO2 emissions (if required)? Are there other ways in which to self-identify a capacity for minimizing CO2 emissions in delivery of goods and services?</w:t>
            </w:r>
          </w:p>
        </w:tc>
        <w:tc>
          <w:tcPr>
            <w:tcW w:w="2500" w:type="pct"/>
          </w:tcPr>
          <w:p w14:paraId="4CAA0B8F" w14:textId="14748B0D" w:rsidR="00A95562" w:rsidRPr="000202DB" w:rsidRDefault="00A95562" w:rsidP="00D255AC">
            <w:pPr>
              <w:pStyle w:val="ListParagraph"/>
              <w:numPr>
                <w:ilvl w:val="0"/>
                <w:numId w:val="23"/>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rsidRPr="000202DB">
              <w:rPr>
                <w:szCs w:val="24"/>
              </w:rPr>
              <w:t>Vendor’s commitment to the environment, as evidenced by its existing environmental policies.</w:t>
            </w:r>
          </w:p>
          <w:p w14:paraId="328A5241" w14:textId="1D2E6D8C" w:rsidR="00A95562" w:rsidRPr="000202DB" w:rsidRDefault="00A95562" w:rsidP="00D255AC">
            <w:pPr>
              <w:pStyle w:val="ListParagraph"/>
              <w:numPr>
                <w:ilvl w:val="0"/>
                <w:numId w:val="23"/>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rsidRPr="000202DB">
              <w:rPr>
                <w:szCs w:val="24"/>
              </w:rPr>
              <w:t>The distance that the vendor would need to travel to fulfill delivery of the required goods and/or services.</w:t>
            </w:r>
          </w:p>
          <w:p w14:paraId="56DC80BC" w14:textId="7AD6D0AC" w:rsidR="0090388A" w:rsidRPr="000202DB" w:rsidRDefault="00A95562" w:rsidP="00D255AC">
            <w:pPr>
              <w:pStyle w:val="ListParagraph"/>
              <w:numPr>
                <w:ilvl w:val="0"/>
                <w:numId w:val="23"/>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rsidRPr="000202DB">
              <w:rPr>
                <w:szCs w:val="24"/>
              </w:rPr>
              <w:t>CO2 emissions resulting from delivery, based on examples of orders (e.g., volume, location).</w:t>
            </w:r>
          </w:p>
        </w:tc>
      </w:tr>
    </w:tbl>
    <w:p w14:paraId="02620AE0" w14:textId="77777777" w:rsidR="003A0906" w:rsidRPr="000202DB" w:rsidRDefault="003A0906" w:rsidP="00264B5C">
      <w:bookmarkStart w:id="54" w:name="_Toc90037141"/>
      <w:r w:rsidRPr="000202DB">
        <w:rPr>
          <w:b/>
          <w:bCs/>
        </w:rPr>
        <w:br w:type="page"/>
      </w:r>
    </w:p>
    <w:p w14:paraId="5B43E9B4" w14:textId="6796BC80" w:rsidR="00CD1A04" w:rsidRPr="000202DB" w:rsidRDefault="00CD1A04" w:rsidP="0075412A">
      <w:pPr>
        <w:pStyle w:val="Heading3"/>
      </w:pPr>
      <w:r w:rsidRPr="000202DB">
        <w:lastRenderedPageBreak/>
        <w:t>Labour</w:t>
      </w:r>
      <w:bookmarkEnd w:id="54"/>
      <w:r w:rsidRPr="000202DB">
        <w:t xml:space="preserve">  </w:t>
      </w:r>
    </w:p>
    <w:p w14:paraId="57697ADA" w14:textId="07C80704" w:rsidR="00CD1A04" w:rsidRPr="000202DB" w:rsidRDefault="00CD1A04" w:rsidP="008F6DE1">
      <w:pPr>
        <w:spacing w:after="240" w:line="240" w:lineRule="auto"/>
        <w:rPr>
          <w:rFonts w:eastAsiaTheme="majorEastAsia" w:cstheme="majorBidi"/>
          <w:b/>
          <w:bCs/>
          <w:color w:val="006E81" w:themeColor="text2"/>
          <w:szCs w:val="24"/>
          <w:lang w:eastAsia="en-CA"/>
        </w:rPr>
      </w:pPr>
      <w:r w:rsidRPr="000202DB">
        <w:rPr>
          <w:rFonts w:eastAsiaTheme="majorEastAsia" w:cstheme="majorBidi"/>
          <w:b/>
          <w:bCs/>
          <w:color w:val="006E81" w:themeColor="text2"/>
          <w:szCs w:val="24"/>
          <w:lang w:eastAsia="en-CA"/>
        </w:rPr>
        <w:t>When to Use</w:t>
      </w:r>
    </w:p>
    <w:p w14:paraId="049ADC95" w14:textId="06F6DCFD" w:rsidR="00CD1A04" w:rsidRPr="000202DB" w:rsidRDefault="004B6827" w:rsidP="008F6DE1">
      <w:pPr>
        <w:spacing w:after="240" w:line="240" w:lineRule="auto"/>
      </w:pPr>
      <w:r w:rsidRPr="000202DB">
        <w:rPr>
          <w:lang w:val="en-US" w:eastAsia="en-CA"/>
        </w:rPr>
        <w:t>Include</w:t>
      </w:r>
      <w:r w:rsidR="00CD1A04" w:rsidRPr="000202DB">
        <w:rPr>
          <w:lang w:eastAsia="en-CA"/>
        </w:rPr>
        <w:t xml:space="preserve"> </w:t>
      </w:r>
      <w:r w:rsidR="00CD1A04" w:rsidRPr="000202DB">
        <w:t>in procurements</w:t>
      </w:r>
      <w:r w:rsidR="0075528E" w:rsidRPr="000202DB">
        <w:t xml:space="preserve"> where elements </w:t>
      </w:r>
      <w:r w:rsidR="00AC0443" w:rsidRPr="000202DB">
        <w:t xml:space="preserve">such as </w:t>
      </w:r>
      <w:r w:rsidR="0075528E" w:rsidRPr="000202DB">
        <w:t xml:space="preserve">wages, </w:t>
      </w:r>
      <w:r w:rsidR="00AC0443" w:rsidRPr="000202DB">
        <w:t>benefits</w:t>
      </w:r>
      <w:r w:rsidR="00E86C21" w:rsidRPr="000202DB">
        <w:t xml:space="preserve"> and</w:t>
      </w:r>
      <w:r w:rsidR="00AC0443" w:rsidRPr="000202DB">
        <w:t xml:space="preserve"> </w:t>
      </w:r>
      <w:r w:rsidR="009817DA" w:rsidRPr="000202DB">
        <w:t xml:space="preserve">working conditions will significantly impact the </w:t>
      </w:r>
      <w:r w:rsidR="00AC0443" w:rsidRPr="000202DB">
        <w:t>cost of doing business</w:t>
      </w:r>
      <w:r w:rsidR="00AA6C45" w:rsidRPr="000202DB">
        <w:t>. This criterion</w:t>
      </w:r>
      <w:r w:rsidRPr="000202DB">
        <w:t xml:space="preserve"> </w:t>
      </w:r>
      <w:r w:rsidR="00CD1A04" w:rsidRPr="000202DB">
        <w:t>require</w:t>
      </w:r>
      <w:r w:rsidR="00312C1A" w:rsidRPr="000202DB">
        <w:t>s</w:t>
      </w:r>
      <w:r w:rsidR="00CD1A04" w:rsidRPr="000202DB">
        <w:t xml:space="preserve"> that vendors demonstrate that they meet or exceed Ontario </w:t>
      </w:r>
      <w:r w:rsidR="00E86C21" w:rsidRPr="000202DB">
        <w:t>l</w:t>
      </w:r>
      <w:r w:rsidR="00CD1A04" w:rsidRPr="000202DB">
        <w:t xml:space="preserve">abour </w:t>
      </w:r>
      <w:r w:rsidR="00E86C21" w:rsidRPr="000202DB">
        <w:t>l</w:t>
      </w:r>
      <w:r w:rsidR="00CD1A04" w:rsidRPr="000202DB">
        <w:t>aws where the good or service is produced.</w:t>
      </w:r>
    </w:p>
    <w:p w14:paraId="413AA3D9" w14:textId="74C2E594" w:rsidR="00CD1A04" w:rsidRPr="000202DB" w:rsidRDefault="00CD1A04" w:rsidP="00264B5C">
      <w:pPr>
        <w:spacing w:after="240"/>
      </w:pPr>
      <w:r w:rsidRPr="000202DB">
        <w:t xml:space="preserve">The following are examples of </w:t>
      </w:r>
      <w:r w:rsidR="00AA6C45" w:rsidRPr="000202DB">
        <w:t>sample</w:t>
      </w:r>
      <w:r w:rsidRPr="000202DB">
        <w:t xml:space="preserve"> questions that can be included in a procurement document and how the responses can be assessed. </w:t>
      </w:r>
    </w:p>
    <w:tbl>
      <w:tblPr>
        <w:tblStyle w:val="GridTable4-Accent1"/>
        <w:tblW w:w="5000" w:type="pct"/>
        <w:tblLook w:val="04A0" w:firstRow="1" w:lastRow="0" w:firstColumn="1" w:lastColumn="0" w:noHBand="0" w:noVBand="1"/>
        <w:tblCaption w:val="Table 12: Labour"/>
        <w:tblDescription w:val="Examples of sample questions"/>
      </w:tblPr>
      <w:tblGrid>
        <w:gridCol w:w="4675"/>
        <w:gridCol w:w="4675"/>
      </w:tblGrid>
      <w:tr w:rsidR="008F6B4F" w:rsidRPr="000202DB" w14:paraId="3A2C5A74" w14:textId="77777777" w:rsidTr="00133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6E14E55" w14:textId="77777777" w:rsidR="008F6B4F" w:rsidRPr="000202DB" w:rsidRDefault="008F6B4F" w:rsidP="00264B5C">
            <w:pPr>
              <w:spacing w:before="120" w:after="120" w:line="240" w:lineRule="auto"/>
              <w:ind w:hanging="397"/>
              <w:jc w:val="center"/>
              <w:rPr>
                <w:rFonts w:eastAsia="Times New Roman" w:cs="Times New Roman"/>
                <w:b w:val="0"/>
                <w:bCs w:val="0"/>
                <w:szCs w:val="24"/>
                <w:lang w:eastAsia="en-CA"/>
              </w:rPr>
            </w:pPr>
            <w:r w:rsidRPr="000202DB">
              <w:t>Sample Questions</w:t>
            </w:r>
          </w:p>
        </w:tc>
        <w:tc>
          <w:tcPr>
            <w:tcW w:w="2500" w:type="pct"/>
          </w:tcPr>
          <w:p w14:paraId="5C86CB26" w14:textId="77777777" w:rsidR="008F6B4F" w:rsidRPr="000202DB" w:rsidRDefault="008F6B4F" w:rsidP="00264B5C">
            <w:pPr>
              <w:spacing w:before="120" w:after="120" w:line="240" w:lineRule="auto"/>
              <w:ind w:hanging="397"/>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lang w:eastAsia="en-CA"/>
              </w:rPr>
            </w:pPr>
            <w:r w:rsidRPr="000202DB">
              <w:t>What to Assess?</w:t>
            </w:r>
          </w:p>
        </w:tc>
      </w:tr>
      <w:tr w:rsidR="008F6B4F" w:rsidRPr="000202DB" w14:paraId="6806BEB7" w14:textId="77777777" w:rsidTr="001331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DA4B9E1" w14:textId="77777777" w:rsidR="006447BD" w:rsidRPr="000202DB" w:rsidRDefault="006447BD" w:rsidP="00D255AC">
            <w:pPr>
              <w:pStyle w:val="ListParagraph"/>
              <w:numPr>
                <w:ilvl w:val="0"/>
                <w:numId w:val="24"/>
              </w:numPr>
              <w:spacing w:before="120" w:after="120" w:line="240" w:lineRule="auto"/>
              <w:ind w:left="0" w:hanging="397"/>
              <w:contextualSpacing w:val="0"/>
              <w:rPr>
                <w:rFonts w:eastAsia="Times New Roman" w:cs="Times New Roman"/>
                <w:b w:val="0"/>
                <w:bCs w:val="0"/>
                <w:szCs w:val="24"/>
                <w:lang w:eastAsia="en-CA"/>
              </w:rPr>
            </w:pPr>
            <w:r w:rsidRPr="000202DB">
              <w:rPr>
                <w:rFonts w:eastAsia="Times New Roman" w:cs="Times New Roman"/>
                <w:b w:val="0"/>
                <w:bCs w:val="0"/>
                <w:szCs w:val="24"/>
                <w:lang w:eastAsia="en-CA"/>
              </w:rPr>
              <w:t xml:space="preserve">Does the bidder meet or exceed the following criteria established under Ontario’s Employment Standards Act </w:t>
            </w:r>
            <w:proofErr w:type="gramStart"/>
            <w:r w:rsidRPr="000202DB">
              <w:rPr>
                <w:rFonts w:eastAsia="Times New Roman" w:cs="Times New Roman"/>
                <w:b w:val="0"/>
                <w:bCs w:val="0"/>
                <w:szCs w:val="24"/>
                <w:lang w:eastAsia="en-CA"/>
              </w:rPr>
              <w:t>with regard to</w:t>
            </w:r>
            <w:proofErr w:type="gramEnd"/>
            <w:r w:rsidRPr="000202DB">
              <w:rPr>
                <w:rFonts w:eastAsia="Times New Roman" w:cs="Times New Roman"/>
                <w:b w:val="0"/>
                <w:bCs w:val="0"/>
                <w:szCs w:val="24"/>
                <w:lang w:eastAsia="en-CA"/>
              </w:rPr>
              <w:t>?</w:t>
            </w:r>
          </w:p>
          <w:p w14:paraId="737BC839" w14:textId="77777777" w:rsidR="006447BD" w:rsidRPr="000202DB" w:rsidRDefault="006447BD" w:rsidP="00D255AC">
            <w:pPr>
              <w:pStyle w:val="ListParagraph"/>
              <w:numPr>
                <w:ilvl w:val="0"/>
                <w:numId w:val="26"/>
              </w:numPr>
              <w:spacing w:before="120" w:after="120" w:line="240" w:lineRule="auto"/>
              <w:ind w:left="0" w:hanging="397"/>
              <w:contextualSpacing w:val="0"/>
              <w:rPr>
                <w:rFonts w:eastAsia="Times New Roman" w:cs="Times New Roman"/>
                <w:b w:val="0"/>
                <w:bCs w:val="0"/>
                <w:szCs w:val="24"/>
                <w:lang w:eastAsia="en-CA"/>
              </w:rPr>
            </w:pPr>
            <w:r w:rsidRPr="000202DB">
              <w:rPr>
                <w:rFonts w:eastAsia="Times New Roman" w:cs="Times New Roman"/>
                <w:b w:val="0"/>
                <w:bCs w:val="0"/>
                <w:szCs w:val="24"/>
                <w:lang w:eastAsia="en-CA"/>
              </w:rPr>
              <w:t>Hours of work, eating periods and rest periods</w:t>
            </w:r>
          </w:p>
          <w:p w14:paraId="6EBD2A97" w14:textId="77777777" w:rsidR="006447BD" w:rsidRPr="000202DB" w:rsidRDefault="006447BD" w:rsidP="00D255AC">
            <w:pPr>
              <w:pStyle w:val="ListParagraph"/>
              <w:numPr>
                <w:ilvl w:val="0"/>
                <w:numId w:val="26"/>
              </w:numPr>
              <w:spacing w:before="120" w:after="120" w:line="240" w:lineRule="auto"/>
              <w:ind w:left="0" w:hanging="397"/>
              <w:contextualSpacing w:val="0"/>
              <w:rPr>
                <w:rFonts w:eastAsia="Times New Roman" w:cs="Times New Roman"/>
                <w:b w:val="0"/>
                <w:bCs w:val="0"/>
                <w:szCs w:val="24"/>
                <w:lang w:eastAsia="en-CA"/>
              </w:rPr>
            </w:pPr>
            <w:r w:rsidRPr="000202DB">
              <w:rPr>
                <w:rFonts w:eastAsia="Times New Roman" w:cs="Times New Roman"/>
                <w:b w:val="0"/>
                <w:bCs w:val="0"/>
                <w:szCs w:val="24"/>
                <w:lang w:eastAsia="en-CA"/>
              </w:rPr>
              <w:t>Payment of wages</w:t>
            </w:r>
          </w:p>
          <w:p w14:paraId="6A17D4AB" w14:textId="136E482B" w:rsidR="006447BD" w:rsidRPr="000202DB" w:rsidRDefault="006447BD" w:rsidP="00D255AC">
            <w:pPr>
              <w:pStyle w:val="ListParagraph"/>
              <w:numPr>
                <w:ilvl w:val="0"/>
                <w:numId w:val="26"/>
              </w:numPr>
              <w:spacing w:before="120" w:after="120" w:line="240" w:lineRule="auto"/>
              <w:ind w:left="0" w:hanging="397"/>
              <w:contextualSpacing w:val="0"/>
              <w:rPr>
                <w:rFonts w:eastAsia="Times New Roman" w:cs="Times New Roman"/>
                <w:b w:val="0"/>
                <w:bCs w:val="0"/>
                <w:szCs w:val="24"/>
                <w:lang w:eastAsia="en-CA"/>
              </w:rPr>
            </w:pPr>
            <w:r w:rsidRPr="000202DB">
              <w:rPr>
                <w:rFonts w:eastAsia="Times New Roman" w:cs="Times New Roman"/>
                <w:b w:val="0"/>
                <w:bCs w:val="0"/>
                <w:szCs w:val="24"/>
                <w:lang w:eastAsia="en-CA"/>
              </w:rPr>
              <w:t xml:space="preserve">Overtime </w:t>
            </w:r>
            <w:proofErr w:type="gramStart"/>
            <w:r w:rsidRPr="000202DB">
              <w:rPr>
                <w:rFonts w:eastAsia="Times New Roman" w:cs="Times New Roman"/>
                <w:b w:val="0"/>
                <w:bCs w:val="0"/>
                <w:szCs w:val="24"/>
                <w:lang w:eastAsia="en-CA"/>
              </w:rPr>
              <w:t>pay</w:t>
            </w:r>
            <w:proofErr w:type="gramEnd"/>
          </w:p>
          <w:p w14:paraId="0D40B39C" w14:textId="2F46A107" w:rsidR="008F6B4F" w:rsidRPr="000202DB" w:rsidRDefault="006447BD" w:rsidP="00D255AC">
            <w:pPr>
              <w:pStyle w:val="ListParagraph"/>
              <w:numPr>
                <w:ilvl w:val="0"/>
                <w:numId w:val="26"/>
              </w:numPr>
              <w:spacing w:before="120" w:after="120" w:line="240" w:lineRule="auto"/>
              <w:ind w:left="0" w:hanging="397"/>
              <w:contextualSpacing w:val="0"/>
              <w:rPr>
                <w:rFonts w:eastAsia="Times New Roman" w:cs="Times New Roman"/>
                <w:b w:val="0"/>
                <w:bCs w:val="0"/>
                <w:szCs w:val="24"/>
                <w:lang w:eastAsia="en-CA"/>
              </w:rPr>
            </w:pPr>
            <w:r w:rsidRPr="000202DB">
              <w:rPr>
                <w:rFonts w:eastAsia="Times New Roman" w:cs="Times New Roman"/>
                <w:b w:val="0"/>
                <w:bCs w:val="0"/>
                <w:szCs w:val="24"/>
                <w:lang w:eastAsia="en-CA"/>
              </w:rPr>
              <w:t>Minimum wage, etc.</w:t>
            </w:r>
          </w:p>
        </w:tc>
        <w:tc>
          <w:tcPr>
            <w:tcW w:w="2500" w:type="pct"/>
          </w:tcPr>
          <w:p w14:paraId="0C9FC2F4" w14:textId="196E6D1B" w:rsidR="008F6B4F" w:rsidRPr="000202DB" w:rsidRDefault="007747EF" w:rsidP="00D255AC">
            <w:pPr>
              <w:pStyle w:val="ListParagraph"/>
              <w:numPr>
                <w:ilvl w:val="0"/>
                <w:numId w:val="25"/>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rsidRPr="000202DB">
              <w:rPr>
                <w:szCs w:val="24"/>
              </w:rPr>
              <w:t xml:space="preserve">Vendor meets or exceeds the requirements established under </w:t>
            </w:r>
            <w:r w:rsidRPr="000202DB">
              <w:rPr>
                <w:i/>
                <w:iCs/>
                <w:szCs w:val="24"/>
              </w:rPr>
              <w:t>Ontario’s Employment Standards Act.</w:t>
            </w:r>
          </w:p>
        </w:tc>
      </w:tr>
    </w:tbl>
    <w:p w14:paraId="212C7534" w14:textId="77777777" w:rsidR="003A0906" w:rsidRPr="000202DB" w:rsidRDefault="003A0906" w:rsidP="00264B5C">
      <w:bookmarkStart w:id="55" w:name="_Toc90037142"/>
      <w:r w:rsidRPr="000202DB">
        <w:rPr>
          <w:b/>
          <w:bCs/>
        </w:rPr>
        <w:br w:type="page"/>
      </w:r>
    </w:p>
    <w:p w14:paraId="7149266A" w14:textId="1DD533E9" w:rsidR="00CD1A04" w:rsidRPr="000202DB" w:rsidRDefault="00CD1A04" w:rsidP="0075412A">
      <w:pPr>
        <w:pStyle w:val="Heading3"/>
      </w:pPr>
      <w:r w:rsidRPr="000202DB">
        <w:lastRenderedPageBreak/>
        <w:t>Local Benefit</w:t>
      </w:r>
      <w:bookmarkEnd w:id="55"/>
    </w:p>
    <w:p w14:paraId="1E539F8E" w14:textId="5A0CED46" w:rsidR="00CD1A04" w:rsidRPr="000202DB" w:rsidRDefault="00CD1A04" w:rsidP="00B866CC">
      <w:pPr>
        <w:spacing w:after="240" w:line="240" w:lineRule="auto"/>
        <w:rPr>
          <w:rFonts w:eastAsiaTheme="majorEastAsia" w:cstheme="majorBidi"/>
          <w:b/>
          <w:bCs/>
          <w:color w:val="006E81" w:themeColor="text2"/>
          <w:szCs w:val="24"/>
          <w:lang w:eastAsia="en-CA"/>
        </w:rPr>
      </w:pPr>
      <w:r w:rsidRPr="000202DB">
        <w:rPr>
          <w:rFonts w:eastAsiaTheme="majorEastAsia" w:cstheme="majorBidi"/>
          <w:b/>
          <w:bCs/>
          <w:color w:val="006E81" w:themeColor="text2"/>
          <w:szCs w:val="24"/>
          <w:lang w:eastAsia="en-CA"/>
        </w:rPr>
        <w:t>When to Use</w:t>
      </w:r>
    </w:p>
    <w:p w14:paraId="091CC58F" w14:textId="4952AD07" w:rsidR="00CD1A04" w:rsidRPr="000202DB" w:rsidRDefault="00A207B4" w:rsidP="00B866CC">
      <w:pPr>
        <w:spacing w:after="240" w:line="240" w:lineRule="auto"/>
      </w:pPr>
      <w:r w:rsidRPr="000202DB">
        <w:t>I</w:t>
      </w:r>
      <w:r w:rsidR="00CD1A04" w:rsidRPr="000202DB">
        <w:t>nclud</w:t>
      </w:r>
      <w:r w:rsidR="00312C1A" w:rsidRPr="000202DB">
        <w:t>e</w:t>
      </w:r>
      <w:r w:rsidRPr="000202DB">
        <w:t xml:space="preserve"> </w:t>
      </w:r>
      <w:r w:rsidR="00CD1A04" w:rsidRPr="000202DB">
        <w:t>in procurements</w:t>
      </w:r>
      <w:r w:rsidR="002A4473" w:rsidRPr="000202DB">
        <w:t xml:space="preserve"> where there is an opportunity </w:t>
      </w:r>
      <w:r w:rsidR="007434D1" w:rsidRPr="000202DB">
        <w:t>to support Ontario based sub</w:t>
      </w:r>
      <w:r w:rsidR="00C16DBE" w:rsidRPr="000202DB">
        <w:t>-contractor</w:t>
      </w:r>
      <w:r w:rsidR="00312C1A" w:rsidRPr="000202DB">
        <w:t>s</w:t>
      </w:r>
      <w:r w:rsidR="00CD1A04" w:rsidRPr="000202DB">
        <w:t xml:space="preserve">, training programs or </w:t>
      </w:r>
      <w:r w:rsidR="00C16DBE" w:rsidRPr="000202DB">
        <w:t xml:space="preserve">support </w:t>
      </w:r>
      <w:r w:rsidR="00CD1A04" w:rsidRPr="000202DB">
        <w:t>research &amp; development</w:t>
      </w:r>
      <w:r w:rsidR="00312C1A" w:rsidRPr="000202DB">
        <w:t>,</w:t>
      </w:r>
      <w:r w:rsidR="00A42C8A" w:rsidRPr="000202DB">
        <w:t xml:space="preserve"> </w:t>
      </w:r>
      <w:r w:rsidR="00CD1A04" w:rsidRPr="000202DB">
        <w:t>potential to benefit small town and or rural businesses. The purpose of the criterion is to evaluate the benefits that any vendor would bring to the local area.</w:t>
      </w:r>
    </w:p>
    <w:p w14:paraId="6728F480" w14:textId="253419EB" w:rsidR="00CD1A04" w:rsidRPr="000202DB" w:rsidRDefault="00CD1A04" w:rsidP="00264B5C">
      <w:pPr>
        <w:spacing w:after="240"/>
      </w:pPr>
      <w:r w:rsidRPr="000202DB">
        <w:t xml:space="preserve">The following are examples of sample questions that can be included in a procurement document and how the responses can be assessed. </w:t>
      </w:r>
    </w:p>
    <w:tbl>
      <w:tblPr>
        <w:tblStyle w:val="GridTable4-Accent1"/>
        <w:tblW w:w="5000" w:type="pct"/>
        <w:tblLook w:val="04A0" w:firstRow="1" w:lastRow="0" w:firstColumn="1" w:lastColumn="0" w:noHBand="0" w:noVBand="1"/>
        <w:tblCaption w:val="Table 13: Local Benefit"/>
        <w:tblDescription w:val="Examples of sample questions"/>
      </w:tblPr>
      <w:tblGrid>
        <w:gridCol w:w="4675"/>
        <w:gridCol w:w="4675"/>
      </w:tblGrid>
      <w:tr w:rsidR="00173F05" w:rsidRPr="000202DB" w14:paraId="34025583" w14:textId="77777777" w:rsidTr="00133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D998363" w14:textId="77777777" w:rsidR="00173F05" w:rsidRPr="000202DB" w:rsidRDefault="00173F05" w:rsidP="00264B5C">
            <w:pPr>
              <w:spacing w:before="120" w:after="120" w:line="240" w:lineRule="auto"/>
              <w:ind w:hanging="397"/>
              <w:jc w:val="center"/>
              <w:rPr>
                <w:rFonts w:eastAsia="Times New Roman" w:cs="Times New Roman"/>
                <w:b w:val="0"/>
                <w:bCs w:val="0"/>
                <w:szCs w:val="24"/>
                <w:lang w:eastAsia="en-CA"/>
              </w:rPr>
            </w:pPr>
            <w:r w:rsidRPr="000202DB">
              <w:t>Sample Questions</w:t>
            </w:r>
          </w:p>
        </w:tc>
        <w:tc>
          <w:tcPr>
            <w:tcW w:w="2500" w:type="pct"/>
          </w:tcPr>
          <w:p w14:paraId="35525E8F" w14:textId="77777777" w:rsidR="00173F05" w:rsidRPr="000202DB" w:rsidRDefault="00173F05" w:rsidP="00264B5C">
            <w:pPr>
              <w:spacing w:before="120" w:after="120" w:line="240" w:lineRule="auto"/>
              <w:ind w:hanging="397"/>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lang w:eastAsia="en-CA"/>
              </w:rPr>
            </w:pPr>
            <w:r w:rsidRPr="000202DB">
              <w:t>What to Assess?</w:t>
            </w:r>
          </w:p>
        </w:tc>
      </w:tr>
      <w:tr w:rsidR="00687752" w:rsidRPr="000202DB" w14:paraId="1D2DA9E5" w14:textId="77777777" w:rsidTr="001331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E623755" w14:textId="181829A2" w:rsidR="00CF4FAF" w:rsidRPr="000202DB" w:rsidRDefault="00CF4FAF" w:rsidP="00D255AC">
            <w:pPr>
              <w:pStyle w:val="ListParagraph"/>
              <w:numPr>
                <w:ilvl w:val="0"/>
                <w:numId w:val="27"/>
              </w:numPr>
              <w:spacing w:before="120" w:after="120" w:line="240" w:lineRule="auto"/>
              <w:ind w:left="0" w:hanging="397"/>
              <w:contextualSpacing w:val="0"/>
              <w:rPr>
                <w:rFonts w:eastAsia="Times New Roman" w:cs="Times New Roman"/>
                <w:b w:val="0"/>
                <w:bCs w:val="0"/>
                <w:szCs w:val="24"/>
                <w:lang w:eastAsia="en-CA"/>
              </w:rPr>
            </w:pPr>
            <w:r w:rsidRPr="000202DB">
              <w:rPr>
                <w:rFonts w:eastAsia="Times New Roman" w:cs="Times New Roman"/>
                <w:b w:val="0"/>
                <w:bCs w:val="0"/>
                <w:szCs w:val="24"/>
                <w:lang w:eastAsia="en-CA"/>
              </w:rPr>
              <w:t>Describe how and when the vendor will use the local workforce, local vendors, local manufacturers, local contractors, and local apprentices/trainees to achieve the project goals or produce the requested goods.</w:t>
            </w:r>
          </w:p>
          <w:p w14:paraId="38F16D74" w14:textId="77777777" w:rsidR="00CF4FAF" w:rsidRPr="000202DB" w:rsidRDefault="00CF4FAF" w:rsidP="00D255AC">
            <w:pPr>
              <w:pStyle w:val="ListParagraph"/>
              <w:numPr>
                <w:ilvl w:val="0"/>
                <w:numId w:val="27"/>
              </w:numPr>
              <w:spacing w:before="120" w:after="120" w:line="240" w:lineRule="auto"/>
              <w:ind w:left="0" w:hanging="397"/>
              <w:contextualSpacing w:val="0"/>
              <w:rPr>
                <w:rFonts w:eastAsia="Times New Roman" w:cs="Times New Roman"/>
                <w:b w:val="0"/>
                <w:bCs w:val="0"/>
                <w:szCs w:val="24"/>
                <w:lang w:eastAsia="en-CA"/>
              </w:rPr>
            </w:pPr>
            <w:r w:rsidRPr="000202DB">
              <w:rPr>
                <w:rFonts w:eastAsia="Times New Roman" w:cs="Times New Roman"/>
                <w:b w:val="0"/>
                <w:bCs w:val="0"/>
                <w:szCs w:val="24"/>
                <w:lang w:eastAsia="en-CA"/>
              </w:rPr>
              <w:t>What is the value of the budget to be allocated to local subcontractors?</w:t>
            </w:r>
          </w:p>
          <w:p w14:paraId="2100D01D" w14:textId="7B603DE3" w:rsidR="00CF4FAF" w:rsidRPr="000202DB" w:rsidRDefault="00CF4FAF" w:rsidP="00D255AC">
            <w:pPr>
              <w:pStyle w:val="ListParagraph"/>
              <w:numPr>
                <w:ilvl w:val="0"/>
                <w:numId w:val="27"/>
              </w:numPr>
              <w:spacing w:before="120" w:after="120" w:line="240" w:lineRule="auto"/>
              <w:ind w:left="0" w:hanging="397"/>
              <w:contextualSpacing w:val="0"/>
              <w:rPr>
                <w:rFonts w:eastAsia="Times New Roman" w:cs="Times New Roman"/>
                <w:b w:val="0"/>
                <w:bCs w:val="0"/>
                <w:szCs w:val="24"/>
                <w:lang w:eastAsia="en-CA"/>
              </w:rPr>
            </w:pPr>
            <w:r w:rsidRPr="000202DB">
              <w:rPr>
                <w:rFonts w:eastAsia="Times New Roman" w:cs="Times New Roman"/>
                <w:b w:val="0"/>
                <w:bCs w:val="0"/>
                <w:szCs w:val="24"/>
                <w:lang w:eastAsia="en-CA"/>
              </w:rPr>
              <w:t>Describe the number of local apprenticeships, internships and traineeships supported by vendor.</w:t>
            </w:r>
          </w:p>
          <w:p w14:paraId="141B4354" w14:textId="373C9B43" w:rsidR="00173F05" w:rsidRPr="000202DB" w:rsidRDefault="00CF4FAF" w:rsidP="00D255AC">
            <w:pPr>
              <w:pStyle w:val="ListParagraph"/>
              <w:numPr>
                <w:ilvl w:val="0"/>
                <w:numId w:val="27"/>
              </w:numPr>
              <w:spacing w:before="120" w:after="120" w:line="240" w:lineRule="auto"/>
              <w:ind w:left="0" w:hanging="397"/>
              <w:contextualSpacing w:val="0"/>
              <w:rPr>
                <w:rFonts w:eastAsia="Times New Roman" w:cs="Times New Roman"/>
                <w:b w:val="0"/>
                <w:bCs w:val="0"/>
                <w:szCs w:val="24"/>
                <w:lang w:eastAsia="en-CA"/>
              </w:rPr>
            </w:pPr>
            <w:r w:rsidRPr="000202DB">
              <w:rPr>
                <w:rFonts w:eastAsia="Times New Roman" w:cs="Times New Roman"/>
                <w:b w:val="0"/>
                <w:bCs w:val="0"/>
                <w:szCs w:val="24"/>
                <w:lang w:eastAsia="en-CA"/>
              </w:rPr>
              <w:t>Describe your organization’s diversity programs.</w:t>
            </w:r>
          </w:p>
        </w:tc>
        <w:tc>
          <w:tcPr>
            <w:tcW w:w="2500" w:type="pct"/>
          </w:tcPr>
          <w:p w14:paraId="185B85A3" w14:textId="3276F1C5" w:rsidR="00A019B7" w:rsidRPr="000202DB" w:rsidRDefault="00A019B7" w:rsidP="00D255AC">
            <w:pPr>
              <w:pStyle w:val="ListParagraph"/>
              <w:numPr>
                <w:ilvl w:val="0"/>
                <w:numId w:val="28"/>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rsidRPr="000202DB">
              <w:rPr>
                <w:szCs w:val="24"/>
              </w:rPr>
              <w:t>Vendor’s use of locally produced commodities.</w:t>
            </w:r>
          </w:p>
          <w:p w14:paraId="0A22790A" w14:textId="67B7B937" w:rsidR="00A019B7" w:rsidRPr="000202DB" w:rsidRDefault="00A019B7" w:rsidP="00D255AC">
            <w:pPr>
              <w:pStyle w:val="ListParagraph"/>
              <w:numPr>
                <w:ilvl w:val="0"/>
                <w:numId w:val="28"/>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rsidRPr="000202DB">
              <w:rPr>
                <w:szCs w:val="24"/>
              </w:rPr>
              <w:t>Vendor’s use of local resources to provide the required services.</w:t>
            </w:r>
          </w:p>
          <w:p w14:paraId="678A184C" w14:textId="13757761" w:rsidR="00A019B7" w:rsidRPr="000202DB" w:rsidRDefault="00A019B7" w:rsidP="00D255AC">
            <w:pPr>
              <w:pStyle w:val="ListParagraph"/>
              <w:numPr>
                <w:ilvl w:val="0"/>
                <w:numId w:val="28"/>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rsidRPr="000202DB">
              <w:rPr>
                <w:szCs w:val="24"/>
              </w:rPr>
              <w:t>Vendor’s apprenticeship programs which benefit local schools and training centres.</w:t>
            </w:r>
          </w:p>
          <w:p w14:paraId="74F2AEED" w14:textId="75C26377" w:rsidR="00173F05" w:rsidRPr="000202DB" w:rsidRDefault="00A019B7" w:rsidP="00D255AC">
            <w:pPr>
              <w:pStyle w:val="ListParagraph"/>
              <w:numPr>
                <w:ilvl w:val="0"/>
                <w:numId w:val="28"/>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rsidRPr="000202DB">
              <w:rPr>
                <w:szCs w:val="24"/>
              </w:rPr>
              <w:t xml:space="preserve">Vendor’s commitment to supporting diversity by way of policy and programs. </w:t>
            </w:r>
          </w:p>
        </w:tc>
      </w:tr>
    </w:tbl>
    <w:p w14:paraId="5BCE7109" w14:textId="77777777" w:rsidR="003A0906" w:rsidRPr="000202DB" w:rsidRDefault="003A0906" w:rsidP="00264B5C">
      <w:bookmarkStart w:id="56" w:name="_Toc90037143"/>
      <w:r w:rsidRPr="000202DB">
        <w:rPr>
          <w:b/>
          <w:bCs/>
        </w:rPr>
        <w:br w:type="page"/>
      </w:r>
    </w:p>
    <w:p w14:paraId="2E2E2B4F" w14:textId="6E33F88B" w:rsidR="00CD1A04" w:rsidRPr="000202DB" w:rsidRDefault="00DA09B7" w:rsidP="0075412A">
      <w:pPr>
        <w:pStyle w:val="Heading3"/>
      </w:pPr>
      <w:r>
        <w:lastRenderedPageBreak/>
        <w:t>I</w:t>
      </w:r>
      <w:r w:rsidR="00CD1A04" w:rsidRPr="000202DB">
        <w:t>ntellectual Property</w:t>
      </w:r>
      <w:bookmarkEnd w:id="56"/>
      <w:r w:rsidR="00CD1A04" w:rsidRPr="000202DB">
        <w:t xml:space="preserve"> </w:t>
      </w:r>
    </w:p>
    <w:p w14:paraId="054A4B95" w14:textId="183A9194" w:rsidR="00CD1A04" w:rsidRPr="000202DB" w:rsidRDefault="00CD1A04" w:rsidP="00B866CC">
      <w:pPr>
        <w:spacing w:after="240" w:line="240" w:lineRule="auto"/>
        <w:rPr>
          <w:rFonts w:eastAsiaTheme="majorEastAsia" w:cstheme="majorBidi"/>
          <w:b/>
          <w:bCs/>
          <w:color w:val="006E81" w:themeColor="text2"/>
          <w:szCs w:val="24"/>
          <w:lang w:eastAsia="en-CA"/>
        </w:rPr>
      </w:pPr>
      <w:r w:rsidRPr="000202DB">
        <w:rPr>
          <w:rFonts w:eastAsiaTheme="majorEastAsia" w:cstheme="majorBidi"/>
          <w:b/>
          <w:bCs/>
          <w:color w:val="006E81" w:themeColor="text2"/>
          <w:szCs w:val="24"/>
          <w:lang w:eastAsia="en-CA"/>
        </w:rPr>
        <w:t>When to Use</w:t>
      </w:r>
    </w:p>
    <w:p w14:paraId="0E424C3A" w14:textId="2BF51465" w:rsidR="00CD1A04" w:rsidRPr="000202DB" w:rsidRDefault="00626B6C" w:rsidP="00B866CC">
      <w:pPr>
        <w:spacing w:after="240" w:line="240" w:lineRule="auto"/>
      </w:pPr>
      <w:r w:rsidRPr="000202DB">
        <w:t>In</w:t>
      </w:r>
      <w:r w:rsidR="00023130" w:rsidRPr="000202DB">
        <w:t>clud</w:t>
      </w:r>
      <w:r w:rsidR="00B50668" w:rsidRPr="000202DB">
        <w:t>e</w:t>
      </w:r>
      <w:r w:rsidR="00023130" w:rsidRPr="000202DB">
        <w:t xml:space="preserve"> in procurement</w:t>
      </w:r>
      <w:r w:rsidR="00312C1A" w:rsidRPr="000202DB">
        <w:t>s</w:t>
      </w:r>
      <w:r w:rsidR="00CD1A04" w:rsidRPr="000202DB">
        <w:t xml:space="preserve"> </w:t>
      </w:r>
      <w:r w:rsidR="00023130" w:rsidRPr="000202DB">
        <w:t xml:space="preserve">where there is an opportunity to </w:t>
      </w:r>
      <w:r w:rsidR="00BF411E" w:rsidRPr="000202DB">
        <w:t xml:space="preserve">build capacity for Ontario businesses through the </w:t>
      </w:r>
      <w:r w:rsidR="00CD1A04" w:rsidRPr="000202DB">
        <w:t>develop</w:t>
      </w:r>
      <w:r w:rsidR="00BF411E" w:rsidRPr="000202DB">
        <w:t>ment of</w:t>
      </w:r>
      <w:r w:rsidR="00CD1A04" w:rsidRPr="000202DB">
        <w:t xml:space="preserve"> new and innovative solutions, unique, or specialized products with strong innovation potential that could be harnessed through greater investment in research and development. </w:t>
      </w:r>
    </w:p>
    <w:p w14:paraId="7944715F" w14:textId="174A5E23" w:rsidR="00CD1A04" w:rsidRPr="000202DB" w:rsidRDefault="00CD1A04" w:rsidP="00264B5C">
      <w:pPr>
        <w:spacing w:after="240"/>
      </w:pPr>
      <w:r w:rsidRPr="000202DB">
        <w:t xml:space="preserve">The following are examples of sample questions that can be included in a procurement document and how the responses can be assessed. </w:t>
      </w:r>
    </w:p>
    <w:tbl>
      <w:tblPr>
        <w:tblStyle w:val="GridTable4-Accent1"/>
        <w:tblW w:w="5000" w:type="pct"/>
        <w:tblLook w:val="04A0" w:firstRow="1" w:lastRow="0" w:firstColumn="1" w:lastColumn="0" w:noHBand="0" w:noVBand="1"/>
        <w:tblCaption w:val="Table 14: Intellectual Property"/>
        <w:tblDescription w:val="Examples of sample questions"/>
      </w:tblPr>
      <w:tblGrid>
        <w:gridCol w:w="4675"/>
        <w:gridCol w:w="4675"/>
      </w:tblGrid>
      <w:tr w:rsidR="007A37E5" w:rsidRPr="000202DB" w14:paraId="41E8BE70" w14:textId="77777777" w:rsidTr="00133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C4E1296" w14:textId="77777777" w:rsidR="007A37E5" w:rsidRPr="000202DB" w:rsidRDefault="007A37E5" w:rsidP="00264B5C">
            <w:pPr>
              <w:spacing w:before="120" w:after="120" w:line="240" w:lineRule="auto"/>
              <w:ind w:hanging="397"/>
              <w:jc w:val="center"/>
              <w:rPr>
                <w:rFonts w:eastAsia="Times New Roman" w:cs="Times New Roman"/>
                <w:b w:val="0"/>
                <w:bCs w:val="0"/>
                <w:szCs w:val="24"/>
                <w:lang w:eastAsia="en-CA"/>
              </w:rPr>
            </w:pPr>
            <w:r w:rsidRPr="000202DB">
              <w:t>Sample Questions</w:t>
            </w:r>
          </w:p>
        </w:tc>
        <w:tc>
          <w:tcPr>
            <w:tcW w:w="2500" w:type="pct"/>
          </w:tcPr>
          <w:p w14:paraId="3A2BEB25" w14:textId="77777777" w:rsidR="007A37E5" w:rsidRPr="000202DB" w:rsidRDefault="007A37E5" w:rsidP="00264B5C">
            <w:pPr>
              <w:spacing w:before="120" w:after="120" w:line="240" w:lineRule="auto"/>
              <w:ind w:hanging="397"/>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lang w:eastAsia="en-CA"/>
              </w:rPr>
            </w:pPr>
            <w:r w:rsidRPr="000202DB">
              <w:t>What to Assess?</w:t>
            </w:r>
          </w:p>
        </w:tc>
      </w:tr>
      <w:tr w:rsidR="00943BFC" w:rsidRPr="000202DB" w14:paraId="3FB708A4" w14:textId="77777777" w:rsidTr="001331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4999109" w14:textId="77777777" w:rsidR="00085E8C" w:rsidRPr="000202DB" w:rsidRDefault="00085E8C" w:rsidP="00D255AC">
            <w:pPr>
              <w:pStyle w:val="ListParagraph"/>
              <w:numPr>
                <w:ilvl w:val="0"/>
                <w:numId w:val="29"/>
              </w:numPr>
              <w:spacing w:before="120" w:after="120" w:line="240" w:lineRule="auto"/>
              <w:ind w:left="0" w:hanging="397"/>
              <w:contextualSpacing w:val="0"/>
              <w:rPr>
                <w:rFonts w:eastAsia="Times New Roman" w:cs="Times New Roman"/>
                <w:b w:val="0"/>
                <w:bCs w:val="0"/>
                <w:szCs w:val="24"/>
                <w:lang w:eastAsia="en-CA"/>
              </w:rPr>
            </w:pPr>
            <w:r w:rsidRPr="000202DB">
              <w:rPr>
                <w:rFonts w:eastAsia="Times New Roman" w:cs="Times New Roman"/>
                <w:b w:val="0"/>
                <w:bCs w:val="0"/>
                <w:szCs w:val="24"/>
                <w:lang w:eastAsia="en-CA"/>
              </w:rPr>
              <w:t>Explain how you understand the requirement/challenge and provide your proposed innovative solution.</w:t>
            </w:r>
          </w:p>
          <w:p w14:paraId="025DE283" w14:textId="77777777" w:rsidR="00085E8C" w:rsidRPr="000202DB" w:rsidRDefault="00085E8C" w:rsidP="00D255AC">
            <w:pPr>
              <w:pStyle w:val="ListParagraph"/>
              <w:numPr>
                <w:ilvl w:val="0"/>
                <w:numId w:val="29"/>
              </w:numPr>
              <w:spacing w:before="120" w:after="120" w:line="240" w:lineRule="auto"/>
              <w:ind w:left="0" w:hanging="397"/>
              <w:contextualSpacing w:val="0"/>
              <w:rPr>
                <w:rFonts w:eastAsia="Times New Roman" w:cs="Times New Roman"/>
                <w:b w:val="0"/>
                <w:bCs w:val="0"/>
                <w:szCs w:val="24"/>
                <w:lang w:eastAsia="en-CA"/>
              </w:rPr>
            </w:pPr>
            <w:r w:rsidRPr="000202DB">
              <w:rPr>
                <w:rFonts w:eastAsia="Times New Roman" w:cs="Times New Roman"/>
                <w:b w:val="0"/>
                <w:bCs w:val="0"/>
                <w:szCs w:val="24"/>
                <w:lang w:eastAsia="en-CA"/>
              </w:rPr>
              <w:t>Explain how your organization will involve an Ontario learning institution with the research and development related to your proposed solution.</w:t>
            </w:r>
          </w:p>
          <w:p w14:paraId="7E53E6B2" w14:textId="66C75FB4" w:rsidR="007A37E5" w:rsidRPr="000202DB" w:rsidRDefault="00085E8C" w:rsidP="00D255AC">
            <w:pPr>
              <w:pStyle w:val="ListParagraph"/>
              <w:numPr>
                <w:ilvl w:val="0"/>
                <w:numId w:val="29"/>
              </w:numPr>
              <w:spacing w:before="120" w:after="120" w:line="240" w:lineRule="auto"/>
              <w:ind w:left="0" w:hanging="397"/>
              <w:contextualSpacing w:val="0"/>
              <w:rPr>
                <w:rFonts w:eastAsia="Times New Roman" w:cs="Times New Roman"/>
                <w:b w:val="0"/>
                <w:bCs w:val="0"/>
                <w:szCs w:val="24"/>
                <w:lang w:eastAsia="en-CA"/>
              </w:rPr>
            </w:pPr>
            <w:r w:rsidRPr="000202DB">
              <w:rPr>
                <w:rFonts w:eastAsia="Times New Roman" w:cs="Times New Roman"/>
                <w:b w:val="0"/>
                <w:bCs w:val="0"/>
                <w:szCs w:val="24"/>
                <w:lang w:eastAsia="en-CA"/>
              </w:rPr>
              <w:t>Has your company marketed and sold solutions developed in partnership with Ontario learning institutions? If so, how many proprietary products have you developed?</w:t>
            </w:r>
          </w:p>
        </w:tc>
        <w:tc>
          <w:tcPr>
            <w:tcW w:w="2500" w:type="pct"/>
          </w:tcPr>
          <w:p w14:paraId="0A0AA1B3" w14:textId="6A912F23" w:rsidR="001B717E" w:rsidRPr="000202DB" w:rsidRDefault="001B717E" w:rsidP="00D255AC">
            <w:pPr>
              <w:pStyle w:val="ListParagraph"/>
              <w:numPr>
                <w:ilvl w:val="0"/>
                <w:numId w:val="30"/>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rsidRPr="000202DB">
              <w:rPr>
                <w:szCs w:val="24"/>
              </w:rPr>
              <w:t xml:space="preserve">The number of proprietary products that had been developed by the vendor in partnership with an Ontario learning institution. </w:t>
            </w:r>
          </w:p>
          <w:p w14:paraId="54E9F56A" w14:textId="4B36C7F5" w:rsidR="001B717E" w:rsidRPr="000202DB" w:rsidRDefault="001B717E" w:rsidP="00D255AC">
            <w:pPr>
              <w:pStyle w:val="ListParagraph"/>
              <w:numPr>
                <w:ilvl w:val="0"/>
                <w:numId w:val="30"/>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rsidRPr="000202DB">
              <w:rPr>
                <w:szCs w:val="24"/>
              </w:rPr>
              <w:t>The vendors R&amp;D activities benefit a local learning institution.</w:t>
            </w:r>
          </w:p>
          <w:p w14:paraId="4FC7D158" w14:textId="1BE98201" w:rsidR="007A37E5" w:rsidRPr="000202DB" w:rsidRDefault="001B717E" w:rsidP="00D255AC">
            <w:pPr>
              <w:pStyle w:val="ListParagraph"/>
              <w:numPr>
                <w:ilvl w:val="0"/>
                <w:numId w:val="30"/>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rsidRPr="000202DB">
              <w:rPr>
                <w:szCs w:val="24"/>
              </w:rPr>
              <w:t>Proof of solutions developed by the vendor in partnership with an Ontario learning institution.</w:t>
            </w:r>
          </w:p>
        </w:tc>
      </w:tr>
    </w:tbl>
    <w:p w14:paraId="10A17BF4" w14:textId="77777777" w:rsidR="00670056" w:rsidRPr="000202DB" w:rsidRDefault="00670056" w:rsidP="00264B5C">
      <w:pPr>
        <w:spacing w:before="0" w:line="259" w:lineRule="auto"/>
        <w:rPr>
          <w:rFonts w:eastAsiaTheme="majorEastAsia" w:cstheme="majorBidi"/>
          <w:b/>
          <w:bCs/>
          <w:smallCaps/>
          <w:color w:val="006E81" w:themeColor="text2"/>
          <w:sz w:val="32"/>
          <w:szCs w:val="28"/>
        </w:rPr>
      </w:pPr>
      <w:r w:rsidRPr="000202DB">
        <w:br w:type="page"/>
      </w:r>
    </w:p>
    <w:p w14:paraId="604B56DB" w14:textId="15301417" w:rsidR="00F77787" w:rsidRPr="000202DB" w:rsidRDefault="00F77787" w:rsidP="006F3345">
      <w:pPr>
        <w:pStyle w:val="Heading2"/>
      </w:pPr>
      <w:bookmarkStart w:id="57" w:name="_Appendix_B:_Example"/>
      <w:bookmarkStart w:id="58" w:name="_Toc160634800"/>
      <w:bookmarkStart w:id="59" w:name="_Toc174975061"/>
      <w:bookmarkEnd w:id="45"/>
      <w:bookmarkEnd w:id="57"/>
      <w:r w:rsidRPr="000202DB">
        <w:lastRenderedPageBreak/>
        <w:t xml:space="preserve">Appendix </w:t>
      </w:r>
      <w:r w:rsidR="00151D3B">
        <w:t>B</w:t>
      </w:r>
      <w:r w:rsidRPr="000202DB">
        <w:t>: Example of applying weighted domestic criteria in the procurement process</w:t>
      </w:r>
      <w:bookmarkEnd w:id="58"/>
      <w:bookmarkEnd w:id="59"/>
    </w:p>
    <w:tbl>
      <w:tblPr>
        <w:tblStyle w:val="TableGrid"/>
        <w:tblW w:w="5000" w:type="pct"/>
        <w:tblLook w:val="04A0" w:firstRow="1" w:lastRow="0" w:firstColumn="1" w:lastColumn="0" w:noHBand="0" w:noVBand="1"/>
        <w:tblCaption w:val="Table 15: Appendix B"/>
        <w:tblDescription w:val="Example of applying weighted domestic criteria in the procument process"/>
      </w:tblPr>
      <w:tblGrid>
        <w:gridCol w:w="2196"/>
        <w:gridCol w:w="2064"/>
        <w:gridCol w:w="2476"/>
        <w:gridCol w:w="2614"/>
      </w:tblGrid>
      <w:tr w:rsidR="00B420CB" w:rsidRPr="000202DB" w14:paraId="1A161548" w14:textId="77777777" w:rsidTr="008E07FD">
        <w:trPr>
          <w:trHeight w:val="671"/>
        </w:trPr>
        <w:tc>
          <w:tcPr>
            <w:tcW w:w="1174" w:type="pct"/>
            <w:tcBorders>
              <w:top w:val="single" w:sz="4" w:space="0" w:color="auto"/>
              <w:left w:val="single" w:sz="4" w:space="0" w:color="auto"/>
              <w:bottom w:val="nil"/>
              <w:right w:val="nil"/>
            </w:tcBorders>
            <w:shd w:val="clear" w:color="auto" w:fill="005160" w:themeFill="text2" w:themeFillShade="BF"/>
          </w:tcPr>
          <w:p w14:paraId="31DCFDB7" w14:textId="77777777" w:rsidR="00695B89" w:rsidRPr="000202DB" w:rsidRDefault="00695B89" w:rsidP="00264B5C">
            <w:pPr>
              <w:spacing w:after="240"/>
              <w:jc w:val="center"/>
              <w:rPr>
                <w:rFonts w:cs="Arial"/>
                <w:b/>
                <w:bCs/>
                <w:szCs w:val="24"/>
              </w:rPr>
            </w:pPr>
            <w:r w:rsidRPr="000202DB">
              <w:rPr>
                <w:rFonts w:cs="Arial"/>
                <w:b/>
                <w:bCs/>
                <w:szCs w:val="24"/>
              </w:rPr>
              <w:t>Current</w:t>
            </w:r>
          </w:p>
        </w:tc>
        <w:tc>
          <w:tcPr>
            <w:tcW w:w="1104" w:type="pct"/>
            <w:tcBorders>
              <w:top w:val="single" w:sz="4" w:space="0" w:color="auto"/>
              <w:left w:val="nil"/>
              <w:bottom w:val="nil"/>
              <w:right w:val="single" w:sz="4" w:space="0" w:color="auto"/>
            </w:tcBorders>
            <w:shd w:val="clear" w:color="auto" w:fill="005160" w:themeFill="text2" w:themeFillShade="BF"/>
          </w:tcPr>
          <w:p w14:paraId="719EA9ED" w14:textId="50BE5C05" w:rsidR="00695B89" w:rsidRPr="000202DB" w:rsidRDefault="00695B89" w:rsidP="00264B5C">
            <w:pPr>
              <w:spacing w:after="240"/>
              <w:jc w:val="center"/>
              <w:rPr>
                <w:rFonts w:cs="Arial"/>
                <w:b/>
                <w:bCs/>
                <w:szCs w:val="24"/>
              </w:rPr>
            </w:pPr>
          </w:p>
        </w:tc>
        <w:tc>
          <w:tcPr>
            <w:tcW w:w="1324" w:type="pct"/>
            <w:tcBorders>
              <w:top w:val="single" w:sz="4" w:space="0" w:color="auto"/>
              <w:left w:val="single" w:sz="4" w:space="0" w:color="auto"/>
              <w:bottom w:val="nil"/>
              <w:right w:val="nil"/>
            </w:tcBorders>
            <w:shd w:val="clear" w:color="auto" w:fill="005160" w:themeFill="text2" w:themeFillShade="BF"/>
          </w:tcPr>
          <w:p w14:paraId="50E05858" w14:textId="77777777" w:rsidR="00695B89" w:rsidRPr="000202DB" w:rsidRDefault="00695B89" w:rsidP="00264B5C">
            <w:pPr>
              <w:spacing w:after="240"/>
              <w:jc w:val="center"/>
              <w:rPr>
                <w:rFonts w:eastAsia="Times New Roman" w:cs="Times New Roman"/>
                <w:b/>
                <w:bCs/>
                <w:szCs w:val="24"/>
                <w:lang w:eastAsia="en-CA"/>
              </w:rPr>
            </w:pPr>
            <w:r w:rsidRPr="000202DB">
              <w:rPr>
                <w:rFonts w:eastAsia="Times New Roman" w:cs="Times New Roman"/>
                <w:b/>
                <w:bCs/>
                <w:szCs w:val="24"/>
                <w:lang w:val="en-CA" w:eastAsia="en-CA"/>
              </w:rPr>
              <w:t>Proposed</w:t>
            </w:r>
          </w:p>
        </w:tc>
        <w:tc>
          <w:tcPr>
            <w:tcW w:w="1398" w:type="pct"/>
            <w:tcBorders>
              <w:top w:val="single" w:sz="4" w:space="0" w:color="auto"/>
              <w:left w:val="nil"/>
              <w:bottom w:val="nil"/>
              <w:right w:val="single" w:sz="4" w:space="0" w:color="auto"/>
            </w:tcBorders>
            <w:shd w:val="clear" w:color="auto" w:fill="005160" w:themeFill="text2" w:themeFillShade="BF"/>
          </w:tcPr>
          <w:p w14:paraId="6EE9CACD" w14:textId="29703650" w:rsidR="00695B89" w:rsidRPr="000202DB" w:rsidRDefault="00695B89" w:rsidP="00264B5C">
            <w:pPr>
              <w:spacing w:after="240"/>
              <w:jc w:val="center"/>
              <w:rPr>
                <w:rFonts w:eastAsia="Times New Roman" w:cs="Times New Roman"/>
                <w:b/>
                <w:bCs/>
                <w:szCs w:val="24"/>
                <w:lang w:val="en-CA" w:eastAsia="en-CA"/>
              </w:rPr>
            </w:pPr>
          </w:p>
        </w:tc>
      </w:tr>
      <w:tr w:rsidR="00B420CB" w:rsidRPr="000202DB" w14:paraId="77DDB944" w14:textId="77777777" w:rsidTr="008E07FD">
        <w:trPr>
          <w:trHeight w:val="582"/>
        </w:trPr>
        <w:tc>
          <w:tcPr>
            <w:tcW w:w="1174" w:type="pct"/>
            <w:tcBorders>
              <w:top w:val="nil"/>
            </w:tcBorders>
            <w:shd w:val="clear" w:color="auto" w:fill="005160" w:themeFill="text2" w:themeFillShade="BF"/>
            <w:vAlign w:val="center"/>
          </w:tcPr>
          <w:p w14:paraId="5C3B39E8" w14:textId="35D704B6" w:rsidR="00A35D0C" w:rsidRPr="000202DB" w:rsidRDefault="00A35D0C" w:rsidP="00264B5C">
            <w:pPr>
              <w:spacing w:after="240"/>
              <w:jc w:val="center"/>
              <w:rPr>
                <w:rFonts w:eastAsia="Times New Roman" w:cs="Times New Roman"/>
                <w:b/>
                <w:bCs/>
                <w:szCs w:val="24"/>
                <w:lang w:val="en-CA" w:eastAsia="en-CA"/>
              </w:rPr>
            </w:pPr>
            <w:bookmarkStart w:id="60" w:name="_Toc56082373"/>
            <w:r w:rsidRPr="000202DB">
              <w:rPr>
                <w:rFonts w:eastAsia="Times New Roman" w:cs="Times New Roman"/>
                <w:b/>
                <w:bCs/>
                <w:szCs w:val="24"/>
                <w:lang w:val="en-CA" w:eastAsia="en-CA"/>
              </w:rPr>
              <w:t>Criteria</w:t>
            </w:r>
            <w:bookmarkEnd w:id="60"/>
          </w:p>
        </w:tc>
        <w:tc>
          <w:tcPr>
            <w:tcW w:w="1104" w:type="pct"/>
            <w:tcBorders>
              <w:top w:val="nil"/>
            </w:tcBorders>
            <w:shd w:val="clear" w:color="auto" w:fill="005160" w:themeFill="text2" w:themeFillShade="BF"/>
            <w:vAlign w:val="center"/>
          </w:tcPr>
          <w:p w14:paraId="67294F72" w14:textId="77777777" w:rsidR="00A35D0C" w:rsidRPr="000202DB" w:rsidRDefault="00A35D0C" w:rsidP="00264B5C">
            <w:pPr>
              <w:spacing w:after="240"/>
              <w:jc w:val="center"/>
              <w:rPr>
                <w:rFonts w:eastAsia="Times New Roman" w:cs="Times New Roman"/>
                <w:b/>
                <w:bCs/>
                <w:szCs w:val="24"/>
                <w:lang w:val="en-CA" w:eastAsia="en-CA"/>
              </w:rPr>
            </w:pPr>
            <w:bookmarkStart w:id="61" w:name="_Toc56082374"/>
            <w:r w:rsidRPr="000202DB">
              <w:rPr>
                <w:rFonts w:eastAsia="Times New Roman" w:cs="Times New Roman"/>
                <w:b/>
                <w:bCs/>
                <w:szCs w:val="24"/>
                <w:lang w:val="en-CA" w:eastAsia="en-CA"/>
              </w:rPr>
              <w:t>Weighting</w:t>
            </w:r>
            <w:bookmarkEnd w:id="61"/>
          </w:p>
        </w:tc>
        <w:tc>
          <w:tcPr>
            <w:tcW w:w="1324" w:type="pct"/>
            <w:tcBorders>
              <w:top w:val="nil"/>
            </w:tcBorders>
            <w:shd w:val="clear" w:color="auto" w:fill="005160" w:themeFill="text2" w:themeFillShade="BF"/>
            <w:vAlign w:val="center"/>
          </w:tcPr>
          <w:p w14:paraId="36D9C445" w14:textId="77777777" w:rsidR="00A35D0C" w:rsidRPr="000202DB" w:rsidRDefault="00A35D0C" w:rsidP="00264B5C">
            <w:pPr>
              <w:spacing w:after="240"/>
              <w:jc w:val="center"/>
              <w:rPr>
                <w:rFonts w:eastAsia="Times New Roman" w:cs="Times New Roman"/>
                <w:b/>
                <w:bCs/>
                <w:szCs w:val="24"/>
                <w:lang w:val="en-CA" w:eastAsia="en-CA"/>
              </w:rPr>
            </w:pPr>
            <w:bookmarkStart w:id="62" w:name="_Toc56082375"/>
            <w:r w:rsidRPr="000202DB">
              <w:rPr>
                <w:rFonts w:eastAsia="Times New Roman" w:cs="Times New Roman"/>
                <w:b/>
                <w:bCs/>
                <w:szCs w:val="24"/>
                <w:lang w:val="en-CA" w:eastAsia="en-CA"/>
              </w:rPr>
              <w:t>Criteria</w:t>
            </w:r>
            <w:bookmarkEnd w:id="62"/>
          </w:p>
        </w:tc>
        <w:tc>
          <w:tcPr>
            <w:tcW w:w="1398" w:type="pct"/>
            <w:tcBorders>
              <w:top w:val="nil"/>
            </w:tcBorders>
            <w:shd w:val="clear" w:color="auto" w:fill="005160" w:themeFill="text2" w:themeFillShade="BF"/>
            <w:vAlign w:val="center"/>
          </w:tcPr>
          <w:p w14:paraId="5B4B6E92" w14:textId="77777777" w:rsidR="00A35D0C" w:rsidRPr="000202DB" w:rsidRDefault="00A35D0C" w:rsidP="00264B5C">
            <w:pPr>
              <w:spacing w:after="240"/>
              <w:jc w:val="center"/>
              <w:rPr>
                <w:rFonts w:eastAsia="Times New Roman" w:cs="Times New Roman"/>
                <w:b/>
                <w:bCs/>
                <w:szCs w:val="24"/>
                <w:lang w:val="en-CA" w:eastAsia="en-CA"/>
              </w:rPr>
            </w:pPr>
            <w:bookmarkStart w:id="63" w:name="_Toc56082376"/>
            <w:r w:rsidRPr="000202DB">
              <w:rPr>
                <w:rFonts w:eastAsia="Times New Roman" w:cs="Times New Roman"/>
                <w:b/>
                <w:bCs/>
                <w:szCs w:val="24"/>
                <w:lang w:val="en-CA" w:eastAsia="en-CA"/>
              </w:rPr>
              <w:t>Weighting</w:t>
            </w:r>
            <w:bookmarkEnd w:id="63"/>
          </w:p>
        </w:tc>
      </w:tr>
      <w:tr w:rsidR="00BB49A5" w:rsidRPr="000202DB" w14:paraId="30C1D73C" w14:textId="77777777" w:rsidTr="00D51BE0">
        <w:tc>
          <w:tcPr>
            <w:tcW w:w="1174" w:type="pct"/>
          </w:tcPr>
          <w:p w14:paraId="10196AEE" w14:textId="19463FCB" w:rsidR="00A35D0C" w:rsidRPr="000202DB" w:rsidRDefault="00A35D0C" w:rsidP="00264B5C">
            <w:pPr>
              <w:spacing w:after="240"/>
              <w:rPr>
                <w:rFonts w:eastAsia="Times New Roman" w:cs="Times New Roman"/>
                <w:szCs w:val="24"/>
                <w:lang w:val="en-CA" w:eastAsia="en-CA"/>
              </w:rPr>
            </w:pPr>
            <w:bookmarkStart w:id="64" w:name="_Toc56082377"/>
            <w:r w:rsidRPr="000202DB">
              <w:rPr>
                <w:rFonts w:eastAsia="Times New Roman" w:cs="Times New Roman"/>
                <w:szCs w:val="24"/>
                <w:lang w:val="en-CA" w:eastAsia="en-CA"/>
              </w:rPr>
              <w:t>Experience</w:t>
            </w:r>
            <w:bookmarkEnd w:id="64"/>
          </w:p>
        </w:tc>
        <w:tc>
          <w:tcPr>
            <w:tcW w:w="1104" w:type="pct"/>
          </w:tcPr>
          <w:p w14:paraId="3A27DE70" w14:textId="35A4C4D5" w:rsidR="00A35D0C" w:rsidRPr="000202DB" w:rsidRDefault="00E85D83" w:rsidP="00264B5C">
            <w:pPr>
              <w:spacing w:after="240"/>
              <w:rPr>
                <w:rFonts w:eastAsia="Times New Roman" w:cs="Times New Roman"/>
                <w:b/>
                <w:bCs/>
                <w:szCs w:val="24"/>
                <w:lang w:val="en-CA" w:eastAsia="en-CA"/>
              </w:rPr>
            </w:pPr>
            <w:bookmarkStart w:id="65" w:name="_Toc56082378"/>
            <w:r w:rsidRPr="000202DB">
              <w:rPr>
                <w:rFonts w:eastAsia="Times New Roman" w:cs="Times New Roman"/>
                <w:b/>
                <w:bCs/>
                <w:szCs w:val="24"/>
                <w:lang w:val="en-CA" w:eastAsia="en-CA"/>
              </w:rPr>
              <w:t>25</w:t>
            </w:r>
            <w:r w:rsidR="00A35D0C" w:rsidRPr="000202DB">
              <w:rPr>
                <w:rFonts w:eastAsia="Times New Roman" w:cs="Times New Roman"/>
                <w:b/>
                <w:bCs/>
                <w:szCs w:val="24"/>
                <w:lang w:val="en-CA" w:eastAsia="en-CA"/>
              </w:rPr>
              <w:t>%</w:t>
            </w:r>
            <w:bookmarkEnd w:id="65"/>
          </w:p>
        </w:tc>
        <w:tc>
          <w:tcPr>
            <w:tcW w:w="1324" w:type="pct"/>
          </w:tcPr>
          <w:p w14:paraId="268D4E73" w14:textId="2C7F6278" w:rsidR="00A35D0C" w:rsidRPr="000202DB" w:rsidRDefault="00E820F4" w:rsidP="00264B5C">
            <w:pPr>
              <w:spacing w:after="240"/>
              <w:rPr>
                <w:rFonts w:eastAsia="Times New Roman" w:cs="Times New Roman"/>
                <w:szCs w:val="24"/>
                <w:lang w:val="en-CA" w:eastAsia="en-CA"/>
              </w:rPr>
            </w:pPr>
            <w:r w:rsidRPr="000202DB">
              <w:rPr>
                <w:rFonts w:eastAsia="Times New Roman" w:cs="Times New Roman"/>
                <w:szCs w:val="24"/>
                <w:lang w:val="en-CA" w:eastAsia="en-CA"/>
              </w:rPr>
              <w:t>Experience</w:t>
            </w:r>
          </w:p>
        </w:tc>
        <w:tc>
          <w:tcPr>
            <w:tcW w:w="1398" w:type="pct"/>
          </w:tcPr>
          <w:p w14:paraId="16074A80" w14:textId="0D20024A" w:rsidR="00A35D0C" w:rsidRPr="000202DB" w:rsidRDefault="00E85D83" w:rsidP="00264B5C">
            <w:pPr>
              <w:spacing w:after="240"/>
              <w:rPr>
                <w:rFonts w:eastAsia="Times New Roman" w:cs="Times New Roman"/>
                <w:b/>
                <w:bCs/>
                <w:szCs w:val="24"/>
                <w:lang w:val="en-CA" w:eastAsia="en-CA"/>
              </w:rPr>
            </w:pPr>
            <w:bookmarkStart w:id="66" w:name="_Toc56082380"/>
            <w:r w:rsidRPr="000202DB">
              <w:rPr>
                <w:rFonts w:eastAsia="Times New Roman" w:cs="Times New Roman"/>
                <w:b/>
                <w:bCs/>
                <w:szCs w:val="24"/>
                <w:lang w:val="en-CA" w:eastAsia="en-CA"/>
              </w:rPr>
              <w:t>15</w:t>
            </w:r>
            <w:r w:rsidR="00A35D0C" w:rsidRPr="000202DB">
              <w:rPr>
                <w:rFonts w:eastAsia="Times New Roman" w:cs="Times New Roman"/>
                <w:b/>
                <w:bCs/>
                <w:szCs w:val="24"/>
                <w:lang w:val="en-CA" w:eastAsia="en-CA"/>
              </w:rPr>
              <w:t>%</w:t>
            </w:r>
            <w:bookmarkEnd w:id="66"/>
          </w:p>
        </w:tc>
      </w:tr>
      <w:tr w:rsidR="00BB49A5" w:rsidRPr="000202DB" w14:paraId="29420647" w14:textId="77777777" w:rsidTr="00D51BE0">
        <w:tc>
          <w:tcPr>
            <w:tcW w:w="1174" w:type="pct"/>
          </w:tcPr>
          <w:p w14:paraId="176ADE42" w14:textId="7EEE4102" w:rsidR="00A35D0C" w:rsidRPr="000202DB" w:rsidRDefault="3AA8D859" w:rsidP="00264B5C">
            <w:pPr>
              <w:spacing w:after="240"/>
              <w:rPr>
                <w:rFonts w:eastAsia="Times New Roman" w:cs="Times New Roman"/>
                <w:szCs w:val="24"/>
                <w:lang w:val="en-CA" w:eastAsia="en-CA"/>
              </w:rPr>
            </w:pPr>
            <w:bookmarkStart w:id="67" w:name="_Toc56082381"/>
            <w:r w:rsidRPr="000202DB">
              <w:rPr>
                <w:rFonts w:eastAsia="Times New Roman" w:cs="Times New Roman"/>
                <w:szCs w:val="24"/>
                <w:lang w:val="en-CA" w:eastAsia="en-CA"/>
              </w:rPr>
              <w:t xml:space="preserve">AODA </w:t>
            </w:r>
            <w:r w:rsidR="001C31EE" w:rsidRPr="000202DB">
              <w:rPr>
                <w:rFonts w:eastAsia="Times New Roman" w:cs="Times New Roman"/>
                <w:szCs w:val="24"/>
                <w:lang w:val="en-CA" w:eastAsia="en-CA"/>
              </w:rPr>
              <w:t>C</w:t>
            </w:r>
            <w:r w:rsidRPr="000202DB">
              <w:rPr>
                <w:rFonts w:eastAsia="Times New Roman" w:cs="Times New Roman"/>
                <w:szCs w:val="24"/>
                <w:lang w:val="en-CA" w:eastAsia="en-CA"/>
              </w:rPr>
              <w:t>ompliance</w:t>
            </w:r>
            <w:bookmarkEnd w:id="67"/>
          </w:p>
        </w:tc>
        <w:tc>
          <w:tcPr>
            <w:tcW w:w="1104" w:type="pct"/>
          </w:tcPr>
          <w:p w14:paraId="79DD4C0F" w14:textId="77777777" w:rsidR="00A35D0C" w:rsidRPr="000202DB" w:rsidRDefault="00A35D0C" w:rsidP="00264B5C">
            <w:pPr>
              <w:spacing w:after="240"/>
              <w:rPr>
                <w:rFonts w:eastAsia="Times New Roman" w:cs="Times New Roman"/>
                <w:b/>
                <w:bCs/>
                <w:szCs w:val="24"/>
                <w:lang w:val="en-CA" w:eastAsia="en-CA"/>
              </w:rPr>
            </w:pPr>
            <w:bookmarkStart w:id="68" w:name="_Toc56082382"/>
            <w:r w:rsidRPr="000202DB">
              <w:rPr>
                <w:rFonts w:eastAsia="Times New Roman" w:cs="Times New Roman"/>
                <w:b/>
                <w:bCs/>
                <w:szCs w:val="24"/>
                <w:lang w:val="en-CA" w:eastAsia="en-CA"/>
              </w:rPr>
              <w:t>5%</w:t>
            </w:r>
            <w:bookmarkEnd w:id="68"/>
          </w:p>
        </w:tc>
        <w:tc>
          <w:tcPr>
            <w:tcW w:w="1324" w:type="pct"/>
          </w:tcPr>
          <w:p w14:paraId="39BBE398" w14:textId="74727731" w:rsidR="00A35D0C" w:rsidRPr="000202DB" w:rsidRDefault="00E820F4" w:rsidP="00264B5C">
            <w:pPr>
              <w:spacing w:after="240"/>
              <w:rPr>
                <w:rFonts w:eastAsia="Times New Roman" w:cs="Times New Roman"/>
                <w:szCs w:val="24"/>
                <w:lang w:val="en-CA" w:eastAsia="en-CA"/>
              </w:rPr>
            </w:pPr>
            <w:r w:rsidRPr="000202DB">
              <w:rPr>
                <w:rFonts w:eastAsia="Times New Roman" w:cs="Times New Roman"/>
                <w:szCs w:val="24"/>
                <w:lang w:val="en-CA" w:eastAsia="en-CA"/>
              </w:rPr>
              <w:t xml:space="preserve">AODA </w:t>
            </w:r>
            <w:r w:rsidR="001C31EE" w:rsidRPr="000202DB">
              <w:rPr>
                <w:rFonts w:eastAsia="Times New Roman" w:cs="Times New Roman"/>
                <w:szCs w:val="24"/>
                <w:lang w:val="en-CA" w:eastAsia="en-CA"/>
              </w:rPr>
              <w:t>C</w:t>
            </w:r>
            <w:r w:rsidRPr="000202DB">
              <w:rPr>
                <w:rFonts w:eastAsia="Times New Roman" w:cs="Times New Roman"/>
                <w:szCs w:val="24"/>
                <w:lang w:val="en-CA" w:eastAsia="en-CA"/>
              </w:rPr>
              <w:t>ompliance</w:t>
            </w:r>
          </w:p>
        </w:tc>
        <w:tc>
          <w:tcPr>
            <w:tcW w:w="1398" w:type="pct"/>
          </w:tcPr>
          <w:p w14:paraId="781719B4" w14:textId="77777777" w:rsidR="00A35D0C" w:rsidRPr="000202DB" w:rsidRDefault="00A35D0C" w:rsidP="00264B5C">
            <w:pPr>
              <w:spacing w:after="240"/>
              <w:rPr>
                <w:rFonts w:eastAsia="Times New Roman" w:cs="Times New Roman"/>
                <w:b/>
                <w:bCs/>
                <w:szCs w:val="24"/>
                <w:lang w:val="en-CA" w:eastAsia="en-CA"/>
              </w:rPr>
            </w:pPr>
            <w:bookmarkStart w:id="69" w:name="_Toc56082384"/>
            <w:r w:rsidRPr="000202DB">
              <w:rPr>
                <w:rFonts w:eastAsia="Times New Roman" w:cs="Times New Roman"/>
                <w:b/>
                <w:bCs/>
                <w:szCs w:val="24"/>
                <w:lang w:val="en-CA" w:eastAsia="en-CA"/>
              </w:rPr>
              <w:t>5%</w:t>
            </w:r>
            <w:bookmarkEnd w:id="69"/>
          </w:p>
        </w:tc>
      </w:tr>
      <w:tr w:rsidR="00BB49A5" w:rsidRPr="000202DB" w14:paraId="3134151C" w14:textId="77777777" w:rsidTr="00D51BE0">
        <w:tc>
          <w:tcPr>
            <w:tcW w:w="1174" w:type="pct"/>
          </w:tcPr>
          <w:p w14:paraId="64F79D3E" w14:textId="19CE5E2F" w:rsidR="00A35D0C" w:rsidRPr="000202DB" w:rsidRDefault="00E85D83" w:rsidP="00264B5C">
            <w:pPr>
              <w:spacing w:after="240"/>
              <w:rPr>
                <w:rFonts w:eastAsia="Times New Roman" w:cs="Times New Roman"/>
                <w:szCs w:val="24"/>
                <w:lang w:val="en-CA" w:eastAsia="en-CA"/>
              </w:rPr>
            </w:pPr>
            <w:r w:rsidRPr="000202DB">
              <w:rPr>
                <w:rFonts w:eastAsia="Times New Roman" w:cs="Times New Roman"/>
                <w:szCs w:val="24"/>
                <w:lang w:val="en-CA" w:eastAsia="en-CA"/>
              </w:rPr>
              <w:t>Knowledge</w:t>
            </w:r>
          </w:p>
        </w:tc>
        <w:tc>
          <w:tcPr>
            <w:tcW w:w="1104" w:type="pct"/>
          </w:tcPr>
          <w:p w14:paraId="0A58505C" w14:textId="6B4B450F" w:rsidR="00A35D0C" w:rsidRPr="000202DB" w:rsidRDefault="00E85D83" w:rsidP="00264B5C">
            <w:pPr>
              <w:spacing w:after="240"/>
              <w:rPr>
                <w:rFonts w:eastAsia="Times New Roman" w:cs="Times New Roman"/>
                <w:b/>
                <w:bCs/>
                <w:szCs w:val="24"/>
                <w:lang w:val="en-CA" w:eastAsia="en-CA"/>
              </w:rPr>
            </w:pPr>
            <w:bookmarkStart w:id="70" w:name="_Toc56082386"/>
            <w:r w:rsidRPr="000202DB">
              <w:rPr>
                <w:rFonts w:eastAsia="Times New Roman" w:cs="Times New Roman"/>
                <w:b/>
                <w:bCs/>
                <w:szCs w:val="24"/>
                <w:lang w:val="en-CA" w:eastAsia="en-CA"/>
              </w:rPr>
              <w:t>1</w:t>
            </w:r>
            <w:r w:rsidR="00A35D0C" w:rsidRPr="000202DB">
              <w:rPr>
                <w:rFonts w:eastAsia="Times New Roman" w:cs="Times New Roman"/>
                <w:b/>
                <w:bCs/>
                <w:szCs w:val="24"/>
                <w:lang w:val="en-CA" w:eastAsia="en-CA"/>
              </w:rPr>
              <w:t>5%</w:t>
            </w:r>
            <w:bookmarkEnd w:id="70"/>
          </w:p>
        </w:tc>
        <w:tc>
          <w:tcPr>
            <w:tcW w:w="1324" w:type="pct"/>
          </w:tcPr>
          <w:p w14:paraId="790F7E0F" w14:textId="7A3FF65E" w:rsidR="00A35D0C" w:rsidRPr="000202DB" w:rsidRDefault="00E85D83" w:rsidP="00264B5C">
            <w:pPr>
              <w:spacing w:after="240"/>
              <w:rPr>
                <w:rFonts w:eastAsia="Times New Roman" w:cs="Times New Roman"/>
                <w:szCs w:val="24"/>
                <w:lang w:val="en-CA" w:eastAsia="en-CA"/>
              </w:rPr>
            </w:pPr>
            <w:r w:rsidRPr="000202DB">
              <w:rPr>
                <w:rFonts w:eastAsia="Times New Roman" w:cs="Times New Roman"/>
                <w:szCs w:val="24"/>
                <w:lang w:val="en-CA" w:eastAsia="en-CA"/>
              </w:rPr>
              <w:t>Knowledge</w:t>
            </w:r>
          </w:p>
        </w:tc>
        <w:tc>
          <w:tcPr>
            <w:tcW w:w="1398" w:type="pct"/>
          </w:tcPr>
          <w:p w14:paraId="6263FED5" w14:textId="22955348" w:rsidR="00A35D0C" w:rsidRPr="000202DB" w:rsidRDefault="00E85D83" w:rsidP="00264B5C">
            <w:pPr>
              <w:spacing w:after="240"/>
              <w:rPr>
                <w:rFonts w:eastAsia="Times New Roman" w:cs="Times New Roman"/>
                <w:b/>
                <w:bCs/>
                <w:szCs w:val="24"/>
                <w:lang w:val="en-CA" w:eastAsia="en-CA"/>
              </w:rPr>
            </w:pPr>
            <w:bookmarkStart w:id="71" w:name="_Toc56082388"/>
            <w:r w:rsidRPr="000202DB">
              <w:rPr>
                <w:rFonts w:eastAsia="Times New Roman" w:cs="Times New Roman"/>
                <w:b/>
                <w:bCs/>
                <w:szCs w:val="24"/>
                <w:lang w:val="en-CA" w:eastAsia="en-CA"/>
              </w:rPr>
              <w:t>1</w:t>
            </w:r>
            <w:r w:rsidR="00A35D0C" w:rsidRPr="000202DB">
              <w:rPr>
                <w:rFonts w:eastAsia="Times New Roman" w:cs="Times New Roman"/>
                <w:b/>
                <w:bCs/>
                <w:szCs w:val="24"/>
                <w:lang w:val="en-CA" w:eastAsia="en-CA"/>
              </w:rPr>
              <w:t>5%</w:t>
            </w:r>
            <w:bookmarkEnd w:id="71"/>
          </w:p>
        </w:tc>
      </w:tr>
      <w:tr w:rsidR="00BB49A5" w:rsidRPr="000202DB" w14:paraId="4F91F77F" w14:textId="77777777" w:rsidTr="00D51BE0">
        <w:tc>
          <w:tcPr>
            <w:tcW w:w="1174" w:type="pct"/>
          </w:tcPr>
          <w:p w14:paraId="361AA3F2" w14:textId="2E11872F" w:rsidR="00A35D0C" w:rsidRPr="000202DB" w:rsidRDefault="00A35D0C" w:rsidP="00264B5C">
            <w:pPr>
              <w:spacing w:after="240"/>
              <w:rPr>
                <w:rFonts w:eastAsia="Times New Roman" w:cs="Times New Roman"/>
                <w:szCs w:val="24"/>
                <w:lang w:val="en-CA" w:eastAsia="en-CA"/>
              </w:rPr>
            </w:pPr>
            <w:bookmarkStart w:id="72" w:name="_Toc56082389"/>
            <w:r w:rsidRPr="000202DB">
              <w:rPr>
                <w:rFonts w:eastAsia="Times New Roman" w:cs="Times New Roman"/>
                <w:szCs w:val="24"/>
                <w:lang w:val="en-CA" w:eastAsia="en-CA"/>
              </w:rPr>
              <w:t>Project Approach</w:t>
            </w:r>
            <w:bookmarkEnd w:id="72"/>
          </w:p>
        </w:tc>
        <w:tc>
          <w:tcPr>
            <w:tcW w:w="1104" w:type="pct"/>
          </w:tcPr>
          <w:p w14:paraId="37104D69" w14:textId="77777777" w:rsidR="00A35D0C" w:rsidRPr="000202DB" w:rsidRDefault="00A35D0C" w:rsidP="00264B5C">
            <w:pPr>
              <w:spacing w:after="240"/>
              <w:rPr>
                <w:rFonts w:eastAsia="Times New Roman" w:cs="Times New Roman"/>
                <w:b/>
                <w:bCs/>
                <w:szCs w:val="24"/>
                <w:lang w:val="en-CA" w:eastAsia="en-CA"/>
              </w:rPr>
            </w:pPr>
            <w:bookmarkStart w:id="73" w:name="_Toc56082390"/>
            <w:r w:rsidRPr="000202DB">
              <w:rPr>
                <w:rFonts w:eastAsia="Times New Roman" w:cs="Times New Roman"/>
                <w:b/>
                <w:bCs/>
                <w:szCs w:val="24"/>
                <w:lang w:val="en-CA" w:eastAsia="en-CA"/>
              </w:rPr>
              <w:t>15%</w:t>
            </w:r>
            <w:bookmarkEnd w:id="73"/>
          </w:p>
        </w:tc>
        <w:tc>
          <w:tcPr>
            <w:tcW w:w="1324" w:type="pct"/>
          </w:tcPr>
          <w:p w14:paraId="07768E76" w14:textId="2EA1A322" w:rsidR="00A35D0C" w:rsidRPr="000202DB" w:rsidRDefault="00E820F4" w:rsidP="00264B5C">
            <w:pPr>
              <w:spacing w:after="240"/>
              <w:rPr>
                <w:rFonts w:eastAsia="Times New Roman" w:cs="Times New Roman"/>
                <w:szCs w:val="24"/>
                <w:lang w:val="en-CA" w:eastAsia="en-CA"/>
              </w:rPr>
            </w:pPr>
            <w:r w:rsidRPr="000202DB">
              <w:rPr>
                <w:rFonts w:eastAsia="Times New Roman" w:cs="Times New Roman"/>
                <w:szCs w:val="24"/>
                <w:lang w:val="en-CA" w:eastAsia="en-CA"/>
              </w:rPr>
              <w:t>Project Approach</w:t>
            </w:r>
          </w:p>
        </w:tc>
        <w:tc>
          <w:tcPr>
            <w:tcW w:w="1398" w:type="pct"/>
          </w:tcPr>
          <w:p w14:paraId="6A440C1F" w14:textId="40331488" w:rsidR="00A35D0C" w:rsidRPr="000202DB" w:rsidRDefault="00E85D83" w:rsidP="00264B5C">
            <w:pPr>
              <w:spacing w:after="240"/>
              <w:rPr>
                <w:rFonts w:eastAsia="Times New Roman" w:cs="Times New Roman"/>
                <w:b/>
                <w:bCs/>
                <w:szCs w:val="24"/>
                <w:lang w:val="en-CA" w:eastAsia="en-CA"/>
              </w:rPr>
            </w:pPr>
            <w:bookmarkStart w:id="74" w:name="_Toc56082392"/>
            <w:r w:rsidRPr="000202DB">
              <w:rPr>
                <w:rFonts w:eastAsia="Times New Roman" w:cs="Times New Roman"/>
                <w:b/>
                <w:bCs/>
                <w:szCs w:val="24"/>
                <w:lang w:val="en-CA" w:eastAsia="en-CA"/>
              </w:rPr>
              <w:t>10</w:t>
            </w:r>
            <w:r w:rsidR="00A35D0C" w:rsidRPr="000202DB">
              <w:rPr>
                <w:rFonts w:eastAsia="Times New Roman" w:cs="Times New Roman"/>
                <w:b/>
                <w:bCs/>
                <w:szCs w:val="24"/>
                <w:lang w:val="en-CA" w:eastAsia="en-CA"/>
              </w:rPr>
              <w:t>%</w:t>
            </w:r>
            <w:bookmarkEnd w:id="74"/>
          </w:p>
        </w:tc>
      </w:tr>
      <w:tr w:rsidR="00BB49A5" w:rsidRPr="000202DB" w14:paraId="595BF19D" w14:textId="77777777" w:rsidTr="00D51BE0">
        <w:trPr>
          <w:trHeight w:val="852"/>
        </w:trPr>
        <w:tc>
          <w:tcPr>
            <w:tcW w:w="1174" w:type="pct"/>
          </w:tcPr>
          <w:p w14:paraId="2DD0B51B" w14:textId="7F604A3F" w:rsidR="00A35D0C" w:rsidRPr="000202DB" w:rsidRDefault="00A35D0C" w:rsidP="00264B5C">
            <w:pPr>
              <w:spacing w:after="240"/>
              <w:rPr>
                <w:rFonts w:eastAsia="Times New Roman" w:cs="Times New Roman"/>
                <w:szCs w:val="24"/>
                <w:lang w:val="en-CA" w:eastAsia="en-CA"/>
              </w:rPr>
            </w:pPr>
            <w:bookmarkStart w:id="75" w:name="_Toc56082393"/>
            <w:r w:rsidRPr="000202DB">
              <w:rPr>
                <w:rFonts w:eastAsia="Times New Roman" w:cs="Times New Roman"/>
                <w:szCs w:val="24"/>
                <w:lang w:val="en-CA" w:eastAsia="en-CA"/>
              </w:rPr>
              <w:t>Customer Service</w:t>
            </w:r>
            <w:bookmarkEnd w:id="75"/>
          </w:p>
        </w:tc>
        <w:tc>
          <w:tcPr>
            <w:tcW w:w="1104" w:type="pct"/>
          </w:tcPr>
          <w:p w14:paraId="3AC08ADA" w14:textId="71A07D57" w:rsidR="00A35D0C" w:rsidRPr="000202DB" w:rsidRDefault="00E85D83" w:rsidP="00264B5C">
            <w:pPr>
              <w:spacing w:after="240"/>
              <w:rPr>
                <w:rFonts w:eastAsia="Times New Roman" w:cs="Times New Roman"/>
                <w:b/>
                <w:bCs/>
                <w:szCs w:val="24"/>
                <w:lang w:val="en-CA" w:eastAsia="en-CA"/>
              </w:rPr>
            </w:pPr>
            <w:bookmarkStart w:id="76" w:name="_Toc56082394"/>
            <w:r w:rsidRPr="000202DB">
              <w:rPr>
                <w:rFonts w:eastAsia="Times New Roman" w:cs="Times New Roman"/>
                <w:b/>
                <w:bCs/>
                <w:szCs w:val="24"/>
                <w:lang w:val="en-CA" w:eastAsia="en-CA"/>
              </w:rPr>
              <w:t>10</w:t>
            </w:r>
            <w:r w:rsidR="00A35D0C" w:rsidRPr="000202DB">
              <w:rPr>
                <w:rFonts w:eastAsia="Times New Roman" w:cs="Times New Roman"/>
                <w:b/>
                <w:bCs/>
                <w:szCs w:val="24"/>
                <w:lang w:val="en-CA" w:eastAsia="en-CA"/>
              </w:rPr>
              <w:t>%</w:t>
            </w:r>
            <w:bookmarkEnd w:id="76"/>
          </w:p>
        </w:tc>
        <w:tc>
          <w:tcPr>
            <w:tcW w:w="1324" w:type="pct"/>
          </w:tcPr>
          <w:p w14:paraId="079B8FF6" w14:textId="1FB846AD" w:rsidR="00A35D0C" w:rsidRPr="000202DB" w:rsidRDefault="00F65B44" w:rsidP="00264B5C">
            <w:pPr>
              <w:spacing w:after="240"/>
              <w:rPr>
                <w:rFonts w:eastAsia="Times New Roman" w:cs="Times New Roman"/>
                <w:szCs w:val="24"/>
                <w:lang w:val="en-CA" w:eastAsia="en-CA"/>
              </w:rPr>
            </w:pPr>
            <w:r w:rsidRPr="000202DB">
              <w:rPr>
                <w:rFonts w:eastAsia="Times New Roman" w:cs="Times New Roman"/>
                <w:szCs w:val="24"/>
                <w:lang w:val="en-CA" w:eastAsia="en-CA"/>
              </w:rPr>
              <w:t>Customer Service</w:t>
            </w:r>
          </w:p>
        </w:tc>
        <w:tc>
          <w:tcPr>
            <w:tcW w:w="1398" w:type="pct"/>
          </w:tcPr>
          <w:p w14:paraId="75EE7DC5" w14:textId="3EC7C5BD" w:rsidR="00A35D0C" w:rsidRPr="000202DB" w:rsidRDefault="00A35D0C" w:rsidP="00264B5C">
            <w:pPr>
              <w:spacing w:after="240"/>
              <w:rPr>
                <w:rFonts w:eastAsia="Times New Roman" w:cs="Times New Roman"/>
                <w:b/>
                <w:bCs/>
                <w:szCs w:val="24"/>
                <w:lang w:val="en-CA" w:eastAsia="en-CA"/>
              </w:rPr>
            </w:pPr>
            <w:bookmarkStart w:id="77" w:name="_Toc56082396"/>
            <w:r w:rsidRPr="000202DB">
              <w:rPr>
                <w:rFonts w:eastAsia="Times New Roman" w:cs="Times New Roman"/>
                <w:b/>
                <w:bCs/>
                <w:szCs w:val="24"/>
                <w:lang w:val="en-CA" w:eastAsia="en-CA"/>
              </w:rPr>
              <w:t>10%</w:t>
            </w:r>
            <w:bookmarkEnd w:id="77"/>
          </w:p>
        </w:tc>
      </w:tr>
      <w:tr w:rsidR="00BB49A5" w:rsidRPr="000202DB" w14:paraId="2F857333" w14:textId="77777777" w:rsidTr="00D51BE0">
        <w:trPr>
          <w:trHeight w:val="1475"/>
        </w:trPr>
        <w:tc>
          <w:tcPr>
            <w:tcW w:w="1174" w:type="pct"/>
          </w:tcPr>
          <w:p w14:paraId="37510866" w14:textId="77777777" w:rsidR="00A35D0C" w:rsidRPr="000202DB" w:rsidRDefault="00A35D0C" w:rsidP="00264B5C">
            <w:pPr>
              <w:spacing w:after="240"/>
              <w:rPr>
                <w:rFonts w:eastAsia="Times New Roman" w:cs="Times New Roman"/>
                <w:szCs w:val="24"/>
                <w:lang w:val="en-CA" w:eastAsia="en-CA"/>
              </w:rPr>
            </w:pPr>
          </w:p>
        </w:tc>
        <w:tc>
          <w:tcPr>
            <w:tcW w:w="1104" w:type="pct"/>
          </w:tcPr>
          <w:p w14:paraId="3ABC0E44" w14:textId="77777777" w:rsidR="00A35D0C" w:rsidRPr="000202DB" w:rsidRDefault="00A35D0C" w:rsidP="00264B5C">
            <w:pPr>
              <w:spacing w:after="240"/>
              <w:rPr>
                <w:rFonts w:eastAsia="Times New Roman" w:cs="Times New Roman"/>
                <w:szCs w:val="24"/>
                <w:lang w:val="en-CA" w:eastAsia="en-CA"/>
              </w:rPr>
            </w:pPr>
          </w:p>
        </w:tc>
        <w:tc>
          <w:tcPr>
            <w:tcW w:w="1324" w:type="pct"/>
          </w:tcPr>
          <w:p w14:paraId="5B7C1F0B" w14:textId="1320A9F5" w:rsidR="00A35D0C" w:rsidRPr="000202DB" w:rsidRDefault="00A35D0C" w:rsidP="00264B5C">
            <w:pPr>
              <w:spacing w:after="240"/>
              <w:rPr>
                <w:rFonts w:eastAsia="Times New Roman" w:cs="Times New Roman"/>
                <w:b/>
                <w:bCs/>
                <w:szCs w:val="24"/>
                <w:lang w:val="en-CA" w:eastAsia="en-CA"/>
              </w:rPr>
            </w:pPr>
            <w:bookmarkStart w:id="78" w:name="_Toc56082397"/>
            <w:r w:rsidRPr="000202DB">
              <w:rPr>
                <w:rFonts w:eastAsia="Times New Roman" w:cs="Times New Roman"/>
                <w:b/>
                <w:bCs/>
                <w:szCs w:val="24"/>
                <w:lang w:val="en-CA" w:eastAsia="en-CA"/>
              </w:rPr>
              <w:t xml:space="preserve">Environmental </w:t>
            </w:r>
            <w:bookmarkEnd w:id="78"/>
            <w:r w:rsidR="00E85D83" w:rsidRPr="000202DB">
              <w:rPr>
                <w:rFonts w:eastAsia="Times New Roman" w:cs="Times New Roman"/>
                <w:b/>
                <w:bCs/>
                <w:szCs w:val="24"/>
                <w:lang w:val="en-CA" w:eastAsia="en-CA"/>
              </w:rPr>
              <w:t>and Sustainability</w:t>
            </w:r>
          </w:p>
        </w:tc>
        <w:tc>
          <w:tcPr>
            <w:tcW w:w="1398" w:type="pct"/>
          </w:tcPr>
          <w:p w14:paraId="43BFC8C1" w14:textId="10F9A72D" w:rsidR="00A35D0C" w:rsidRPr="000202DB" w:rsidRDefault="00A168D9" w:rsidP="00264B5C">
            <w:pPr>
              <w:spacing w:after="240"/>
              <w:rPr>
                <w:rFonts w:eastAsia="Times New Roman" w:cs="Times New Roman"/>
                <w:b/>
                <w:bCs/>
                <w:szCs w:val="24"/>
                <w:lang w:val="en-CA" w:eastAsia="en-CA"/>
              </w:rPr>
            </w:pPr>
            <w:bookmarkStart w:id="79" w:name="_Toc56082398"/>
            <w:r w:rsidRPr="000202DB">
              <w:rPr>
                <w:rFonts w:eastAsia="Times New Roman" w:cs="Times New Roman"/>
                <w:b/>
                <w:bCs/>
                <w:noProof/>
                <w:szCs w:val="24"/>
                <w:lang w:eastAsia="en-CA"/>
              </w:rPr>
              <mc:AlternateContent>
                <mc:Choice Requires="wpg">
                  <w:drawing>
                    <wp:anchor distT="0" distB="0" distL="114300" distR="114300" simplePos="0" relativeHeight="251659776" behindDoc="0" locked="0" layoutInCell="1" allowOverlap="1" wp14:anchorId="79F0AA25" wp14:editId="16CF36CE">
                      <wp:simplePos x="0" y="0"/>
                      <wp:positionH relativeFrom="column">
                        <wp:posOffset>25210</wp:posOffset>
                      </wp:positionH>
                      <wp:positionV relativeFrom="paragraph">
                        <wp:posOffset>62865</wp:posOffset>
                      </wp:positionV>
                      <wp:extent cx="1988820" cy="2171700"/>
                      <wp:effectExtent l="0" t="0" r="11430" b="1905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988820" cy="2171700"/>
                                <a:chOff x="0" y="0"/>
                                <a:chExt cx="1988993" cy="2171700"/>
                              </a:xfrm>
                            </wpg:grpSpPr>
                            <wps:wsp>
                              <wps:cNvPr id="1" name="Right Brace 1"/>
                              <wps:cNvSpPr/>
                              <wps:spPr>
                                <a:xfrm>
                                  <a:off x="0" y="0"/>
                                  <a:ext cx="704850" cy="2171700"/>
                                </a:xfrm>
                                <a:prstGeom prst="rightBrac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ext Box 2"/>
                              <wps:cNvSpPr txBox="1"/>
                              <wps:spPr>
                                <a:xfrm>
                                  <a:off x="617393" y="466725"/>
                                  <a:ext cx="1371600" cy="1266825"/>
                                </a:xfrm>
                                <a:prstGeom prst="rect">
                                  <a:avLst/>
                                </a:prstGeom>
                                <a:solidFill>
                                  <a:schemeClr val="lt1"/>
                                </a:solidFill>
                                <a:ln w="6350">
                                  <a:solidFill>
                                    <a:srgbClr val="FF0000"/>
                                  </a:solidFill>
                                </a:ln>
                              </wps:spPr>
                              <wps:txbx>
                                <w:txbxContent>
                                  <w:p w14:paraId="6C815900" w14:textId="69118A23" w:rsidR="00A84B6A" w:rsidRPr="00785EC3" w:rsidRDefault="00A84B6A">
                                    <w:pPr>
                                      <w:rPr>
                                        <w:lang w:val="en-US"/>
                                      </w:rPr>
                                    </w:pPr>
                                    <w:r>
                                      <w:rPr>
                                        <w:lang w:val="en-US"/>
                                      </w:rPr>
                                      <w:t>New weighted domestic criteria included in the rated criteria</w:t>
                                    </w:r>
                                    <w:r w:rsidR="00464908">
                                      <w:rPr>
                                        <w:lang w:val="en-US"/>
                                      </w:rPr>
                                      <w:t>.</w:t>
                                    </w: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9F0AA25" id="Group 3" o:spid="_x0000_s1026" alt="&quot;&quot;" style="position:absolute;margin-left:2pt;margin-top:4.95pt;width:156.6pt;height:171pt;z-index:251659776;mso-width-relative:margin" coordsize="19889,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7" type="#_x0000_t88" style="position:absolute;width:7048;height:21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" adj="584" strokecolor="red"/>
                      <v:shapetype id="_x0000_t202" coordsize="21600,21600" o:spt="202" path="m,l,21600r21600,l21600,xe">
                        <v:stroke joinstyle="miter"/>
                        <v:path gradientshapeok="t" o:connecttype="rect"/>
                      </v:shapetype>
                      <v:shape id="Text Box 2" o:spid="_x0000_s1028" type="#_x0000_t202" style="position:absolute;left:6173;top:4667;width:13716;height:12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" fillcolor="white [3201]" strokecolor="red" strokeweight=".5pt">
                        <v:textbox>
                          <w:txbxContent>
                            <w:p w14:paraId="6C815900" w14:textId="69118A23" w:rsidR="00A84B6A" w:rsidRPr="00785EC3" w:rsidRDefault="00A84B6A">
                              <w:pPr>
                                <w:rPr>
                                  <w:lang w:val="en-US"/>
                                </w:rPr>
                              </w:pPr>
                              <w:r>
                                <w:rPr>
                                  <w:lang w:val="en-US"/>
                                </w:rPr>
                                <w:t>New weighted domestic criteria included in the rated criteria</w:t>
                              </w:r>
                              <w:r w:rsidR="00464908">
                                <w:rPr>
                                  <w:lang w:val="en-US"/>
                                </w:rPr>
                                <w:t>.</w:t>
                              </w:r>
                              <w:r>
                                <w:rPr>
                                  <w:lang w:val="en-US"/>
                                </w:rPr>
                                <w:t xml:space="preserve"> </w:t>
                              </w:r>
                            </w:p>
                          </w:txbxContent>
                        </v:textbox>
                      </v:shape>
                    </v:group>
                  </w:pict>
                </mc:Fallback>
              </mc:AlternateContent>
            </w:r>
            <w:r w:rsidR="00A35D0C" w:rsidRPr="000202DB">
              <w:rPr>
                <w:rFonts w:eastAsia="Times New Roman" w:cs="Times New Roman"/>
                <w:b/>
                <w:bCs/>
                <w:szCs w:val="24"/>
                <w:lang w:val="en-CA" w:eastAsia="en-CA"/>
              </w:rPr>
              <w:t>10%</w:t>
            </w:r>
            <w:bookmarkEnd w:id="79"/>
          </w:p>
        </w:tc>
      </w:tr>
      <w:tr w:rsidR="00BB49A5" w:rsidRPr="000202DB" w14:paraId="54703B6C" w14:textId="77777777" w:rsidTr="00D51BE0">
        <w:trPr>
          <w:trHeight w:val="70"/>
        </w:trPr>
        <w:tc>
          <w:tcPr>
            <w:tcW w:w="1174" w:type="pct"/>
          </w:tcPr>
          <w:p w14:paraId="2DA13243" w14:textId="77777777" w:rsidR="00A35D0C" w:rsidRPr="000202DB" w:rsidRDefault="00A35D0C" w:rsidP="00264B5C">
            <w:pPr>
              <w:spacing w:after="240"/>
              <w:rPr>
                <w:rFonts w:eastAsia="Times New Roman" w:cs="Times New Roman"/>
                <w:szCs w:val="24"/>
                <w:lang w:val="en-CA" w:eastAsia="en-CA"/>
              </w:rPr>
            </w:pPr>
          </w:p>
        </w:tc>
        <w:tc>
          <w:tcPr>
            <w:tcW w:w="1104" w:type="pct"/>
          </w:tcPr>
          <w:p w14:paraId="1C11F9CD" w14:textId="77777777" w:rsidR="00A35D0C" w:rsidRPr="000202DB" w:rsidRDefault="00A35D0C" w:rsidP="00264B5C">
            <w:pPr>
              <w:spacing w:after="240"/>
              <w:rPr>
                <w:rFonts w:eastAsia="Times New Roman" w:cs="Times New Roman"/>
                <w:szCs w:val="24"/>
                <w:lang w:val="en-CA" w:eastAsia="en-CA"/>
              </w:rPr>
            </w:pPr>
          </w:p>
        </w:tc>
        <w:tc>
          <w:tcPr>
            <w:tcW w:w="1324" w:type="pct"/>
          </w:tcPr>
          <w:p w14:paraId="78A8EF8E" w14:textId="3EEC4DB2" w:rsidR="00A35D0C" w:rsidRPr="000202DB" w:rsidRDefault="00E85D83" w:rsidP="00264B5C">
            <w:pPr>
              <w:spacing w:after="240"/>
              <w:rPr>
                <w:rFonts w:eastAsia="Times New Roman" w:cs="Times New Roman"/>
                <w:b/>
                <w:bCs/>
                <w:szCs w:val="24"/>
                <w:lang w:val="en-CA" w:eastAsia="en-CA"/>
              </w:rPr>
            </w:pPr>
            <w:r w:rsidRPr="000202DB">
              <w:rPr>
                <w:rFonts w:eastAsia="Times New Roman" w:cs="Times New Roman"/>
                <w:b/>
                <w:bCs/>
                <w:szCs w:val="24"/>
                <w:lang w:val="en-CA" w:eastAsia="en-CA"/>
              </w:rPr>
              <w:t>Business Responsiveness</w:t>
            </w:r>
            <w:r w:rsidR="00A35D0C" w:rsidRPr="000202DB">
              <w:rPr>
                <w:rFonts w:eastAsia="Times New Roman" w:cs="Times New Roman"/>
                <w:b/>
                <w:bCs/>
                <w:szCs w:val="24"/>
                <w:lang w:val="en-CA" w:eastAsia="en-CA"/>
              </w:rPr>
              <w:t xml:space="preserve"> </w:t>
            </w:r>
          </w:p>
        </w:tc>
        <w:tc>
          <w:tcPr>
            <w:tcW w:w="1398" w:type="pct"/>
          </w:tcPr>
          <w:p w14:paraId="03FB22BC" w14:textId="662DAFF2" w:rsidR="00A35D0C" w:rsidRPr="000202DB" w:rsidRDefault="00FE2DC6" w:rsidP="00264B5C">
            <w:pPr>
              <w:spacing w:after="240"/>
              <w:rPr>
                <w:rFonts w:eastAsia="Times New Roman" w:cs="Times New Roman"/>
                <w:b/>
                <w:bCs/>
                <w:szCs w:val="24"/>
                <w:lang w:val="en-CA" w:eastAsia="en-CA"/>
              </w:rPr>
            </w:pPr>
            <w:bookmarkStart w:id="80" w:name="_Toc56082400"/>
            <w:r>
              <w:rPr>
                <w:rFonts w:eastAsia="Times New Roman" w:cs="Times New Roman"/>
                <w:b/>
                <w:bCs/>
                <w:szCs w:val="24"/>
                <w:lang w:val="en-CA" w:eastAsia="en-CA"/>
              </w:rPr>
              <w:t>10</w:t>
            </w:r>
            <w:r w:rsidR="00A35D0C" w:rsidRPr="000202DB">
              <w:rPr>
                <w:rFonts w:eastAsia="Times New Roman" w:cs="Times New Roman"/>
                <w:b/>
                <w:bCs/>
                <w:szCs w:val="24"/>
                <w:lang w:val="en-CA" w:eastAsia="en-CA"/>
              </w:rPr>
              <w:t>%</w:t>
            </w:r>
            <w:bookmarkEnd w:id="80"/>
          </w:p>
        </w:tc>
      </w:tr>
      <w:tr w:rsidR="00BB49A5" w:rsidRPr="000202DB" w14:paraId="2555E304" w14:textId="77777777" w:rsidTr="00D51BE0">
        <w:tc>
          <w:tcPr>
            <w:tcW w:w="1174" w:type="pct"/>
          </w:tcPr>
          <w:p w14:paraId="70A46FC1" w14:textId="77777777" w:rsidR="00A35D0C" w:rsidRPr="000202DB" w:rsidRDefault="00A35D0C" w:rsidP="00264B5C">
            <w:pPr>
              <w:spacing w:after="240"/>
              <w:rPr>
                <w:rFonts w:eastAsia="Times New Roman" w:cs="Times New Roman"/>
                <w:szCs w:val="24"/>
                <w:lang w:val="en-CA" w:eastAsia="en-CA"/>
              </w:rPr>
            </w:pPr>
          </w:p>
        </w:tc>
        <w:tc>
          <w:tcPr>
            <w:tcW w:w="1104" w:type="pct"/>
          </w:tcPr>
          <w:p w14:paraId="6F6030ED" w14:textId="77777777" w:rsidR="00A35D0C" w:rsidRPr="000202DB" w:rsidRDefault="00A35D0C" w:rsidP="00264B5C">
            <w:pPr>
              <w:spacing w:after="240"/>
              <w:rPr>
                <w:rFonts w:eastAsia="Times New Roman" w:cs="Times New Roman"/>
                <w:szCs w:val="24"/>
                <w:lang w:val="en-CA" w:eastAsia="en-CA"/>
              </w:rPr>
            </w:pPr>
          </w:p>
        </w:tc>
        <w:tc>
          <w:tcPr>
            <w:tcW w:w="1324" w:type="pct"/>
          </w:tcPr>
          <w:p w14:paraId="5841F101" w14:textId="5D0D09FB" w:rsidR="00A35D0C" w:rsidRPr="000202DB" w:rsidRDefault="00E85D83" w:rsidP="00264B5C">
            <w:pPr>
              <w:spacing w:after="240"/>
              <w:rPr>
                <w:rFonts w:eastAsia="Times New Roman" w:cs="Times New Roman"/>
                <w:b/>
                <w:lang w:val="en-CA" w:eastAsia="en-CA"/>
              </w:rPr>
            </w:pPr>
            <w:r w:rsidRPr="713D20C5">
              <w:rPr>
                <w:rFonts w:eastAsia="Times New Roman" w:cs="Times New Roman"/>
                <w:b/>
                <w:lang w:val="en-CA" w:eastAsia="en-CA"/>
              </w:rPr>
              <w:t>Local Benefits</w:t>
            </w:r>
          </w:p>
        </w:tc>
        <w:tc>
          <w:tcPr>
            <w:tcW w:w="1398" w:type="pct"/>
          </w:tcPr>
          <w:p w14:paraId="74C78568" w14:textId="01C3B49E" w:rsidR="00A35D0C" w:rsidRPr="000202DB" w:rsidRDefault="00FE2DC6" w:rsidP="00264B5C">
            <w:pPr>
              <w:spacing w:after="240"/>
              <w:rPr>
                <w:rFonts w:eastAsia="Times New Roman" w:cs="Times New Roman"/>
                <w:b/>
                <w:lang w:val="en-CA" w:eastAsia="en-CA"/>
              </w:rPr>
            </w:pPr>
            <w:bookmarkStart w:id="81" w:name="_Toc56082402"/>
            <w:r>
              <w:rPr>
                <w:rFonts w:eastAsia="Times New Roman" w:cs="Times New Roman"/>
                <w:b/>
                <w:lang w:val="en-CA" w:eastAsia="en-CA"/>
              </w:rPr>
              <w:t>5</w:t>
            </w:r>
            <w:r w:rsidR="00A35D0C" w:rsidRPr="713D20C5">
              <w:rPr>
                <w:rFonts w:eastAsia="Times New Roman" w:cs="Times New Roman"/>
                <w:b/>
                <w:lang w:val="en-CA" w:eastAsia="en-CA"/>
              </w:rPr>
              <w:t>%</w:t>
            </w:r>
            <w:bookmarkEnd w:id="81"/>
          </w:p>
        </w:tc>
      </w:tr>
      <w:tr w:rsidR="00BB49A5" w:rsidRPr="000202DB" w14:paraId="6B7164A6" w14:textId="77777777" w:rsidTr="00D51BE0">
        <w:tc>
          <w:tcPr>
            <w:tcW w:w="1174" w:type="pct"/>
          </w:tcPr>
          <w:p w14:paraId="6AF2CA38" w14:textId="1C25A777" w:rsidR="00A35D0C" w:rsidRPr="000202DB" w:rsidRDefault="00F65B44" w:rsidP="00264B5C">
            <w:pPr>
              <w:spacing w:after="240"/>
              <w:rPr>
                <w:rFonts w:eastAsia="Times New Roman" w:cs="Times New Roman"/>
                <w:szCs w:val="24"/>
                <w:lang w:val="en-CA" w:eastAsia="en-CA"/>
              </w:rPr>
            </w:pPr>
            <w:r w:rsidRPr="000202DB">
              <w:rPr>
                <w:rFonts w:eastAsia="Times New Roman" w:cs="Times New Roman"/>
                <w:szCs w:val="24"/>
                <w:lang w:val="en-CA" w:eastAsia="en-CA"/>
              </w:rPr>
              <w:t>Pricing</w:t>
            </w:r>
          </w:p>
        </w:tc>
        <w:tc>
          <w:tcPr>
            <w:tcW w:w="1104" w:type="pct"/>
          </w:tcPr>
          <w:p w14:paraId="7F44C844" w14:textId="5011AA0D" w:rsidR="00A35D0C" w:rsidRPr="000202DB" w:rsidRDefault="00E85D83" w:rsidP="00264B5C">
            <w:pPr>
              <w:spacing w:after="240"/>
              <w:rPr>
                <w:rFonts w:eastAsia="Times New Roman" w:cs="Times New Roman"/>
                <w:szCs w:val="24"/>
                <w:lang w:val="en-CA" w:eastAsia="en-CA"/>
              </w:rPr>
            </w:pPr>
            <w:r w:rsidRPr="000202DB">
              <w:rPr>
                <w:rFonts w:eastAsia="Times New Roman" w:cs="Times New Roman"/>
                <w:szCs w:val="24"/>
                <w:lang w:val="en-CA" w:eastAsia="en-CA"/>
              </w:rPr>
              <w:t>30</w:t>
            </w:r>
            <w:r w:rsidR="00A35D0C" w:rsidRPr="000202DB">
              <w:rPr>
                <w:rFonts w:eastAsia="Times New Roman" w:cs="Times New Roman"/>
                <w:szCs w:val="24"/>
                <w:lang w:val="en-CA" w:eastAsia="en-CA"/>
              </w:rPr>
              <w:t>%</w:t>
            </w:r>
          </w:p>
        </w:tc>
        <w:tc>
          <w:tcPr>
            <w:tcW w:w="1324" w:type="pct"/>
          </w:tcPr>
          <w:p w14:paraId="0CC3D7B6" w14:textId="77777777" w:rsidR="00A35D0C" w:rsidRPr="000202DB" w:rsidRDefault="00A35D0C" w:rsidP="00264B5C">
            <w:pPr>
              <w:spacing w:after="240"/>
              <w:rPr>
                <w:rFonts w:eastAsia="Times New Roman" w:cs="Times New Roman"/>
                <w:szCs w:val="24"/>
                <w:lang w:val="en-CA" w:eastAsia="en-CA"/>
              </w:rPr>
            </w:pPr>
            <w:bookmarkStart w:id="82" w:name="_Toc56082404"/>
            <w:r w:rsidRPr="000202DB">
              <w:rPr>
                <w:rFonts w:eastAsia="Times New Roman" w:cs="Times New Roman"/>
                <w:szCs w:val="24"/>
                <w:lang w:val="en-CA" w:eastAsia="en-CA"/>
              </w:rPr>
              <w:t>Pricing</w:t>
            </w:r>
            <w:bookmarkEnd w:id="82"/>
          </w:p>
        </w:tc>
        <w:tc>
          <w:tcPr>
            <w:tcW w:w="1398" w:type="pct"/>
          </w:tcPr>
          <w:p w14:paraId="50371019" w14:textId="4D9D6B30" w:rsidR="00A35D0C" w:rsidRPr="000202DB" w:rsidRDefault="00A35D0C" w:rsidP="00264B5C">
            <w:pPr>
              <w:spacing w:after="240"/>
              <w:rPr>
                <w:rFonts w:eastAsia="Times New Roman" w:cs="Times New Roman"/>
                <w:b/>
                <w:bCs/>
                <w:szCs w:val="24"/>
                <w:lang w:val="en-CA" w:eastAsia="en-CA"/>
              </w:rPr>
            </w:pPr>
            <w:bookmarkStart w:id="83" w:name="_Toc56082405"/>
            <w:r w:rsidRPr="000202DB">
              <w:rPr>
                <w:rFonts w:eastAsia="Times New Roman" w:cs="Times New Roman"/>
                <w:b/>
                <w:bCs/>
                <w:szCs w:val="24"/>
                <w:lang w:val="en-CA" w:eastAsia="en-CA"/>
              </w:rPr>
              <w:t>20%</w:t>
            </w:r>
            <w:bookmarkEnd w:id="83"/>
          </w:p>
        </w:tc>
      </w:tr>
    </w:tbl>
    <w:p w14:paraId="3A20C0C5" w14:textId="4F13198B" w:rsidR="00915A3F" w:rsidRDefault="00915A3F" w:rsidP="00264B5C">
      <w:pPr>
        <w:spacing w:before="0" w:line="259" w:lineRule="auto"/>
        <w:rPr>
          <w:b/>
          <w:bCs/>
          <w:smallCaps/>
        </w:rPr>
      </w:pPr>
      <w:bookmarkStart w:id="84" w:name="_Toc85441686"/>
      <w:bookmarkStart w:id="85" w:name="_Toc85441784"/>
      <w:bookmarkStart w:id="86" w:name="_Toc85441881"/>
      <w:bookmarkStart w:id="87" w:name="_Toc85441687"/>
      <w:bookmarkStart w:id="88" w:name="_Toc85441785"/>
      <w:bookmarkStart w:id="89" w:name="_Toc85441882"/>
      <w:bookmarkStart w:id="90" w:name="_Toc85441688"/>
      <w:bookmarkStart w:id="91" w:name="_Toc85441786"/>
      <w:bookmarkStart w:id="92" w:name="_Toc85441883"/>
      <w:bookmarkStart w:id="93" w:name="_Toc85441689"/>
      <w:bookmarkStart w:id="94" w:name="_Toc85441787"/>
      <w:bookmarkStart w:id="95" w:name="_Toc85441884"/>
      <w:bookmarkStart w:id="96" w:name="_Toc85441691"/>
      <w:bookmarkStart w:id="97" w:name="_Toc85441789"/>
      <w:bookmarkStart w:id="98" w:name="_Toc85441886"/>
      <w:bookmarkStart w:id="99" w:name="_Toc85441693"/>
      <w:bookmarkStart w:id="100" w:name="_Toc85441791"/>
      <w:bookmarkStart w:id="101" w:name="_Toc85441888"/>
      <w:bookmarkStart w:id="102" w:name="_Toc85441694"/>
      <w:bookmarkStart w:id="103" w:name="_Toc85441792"/>
      <w:bookmarkStart w:id="104" w:name="_Toc85441889"/>
      <w:bookmarkStart w:id="105" w:name="_Toc85441695"/>
      <w:bookmarkStart w:id="106" w:name="_Toc85441793"/>
      <w:bookmarkStart w:id="107" w:name="_Toc85441890"/>
      <w:bookmarkStart w:id="108" w:name="_Toc85441696"/>
      <w:bookmarkStart w:id="109" w:name="_Toc85441794"/>
      <w:bookmarkStart w:id="110" w:name="_Toc85441891"/>
      <w:bookmarkStart w:id="111" w:name="_Toc85441698"/>
      <w:bookmarkStart w:id="112" w:name="_Toc85441796"/>
      <w:bookmarkStart w:id="113" w:name="_Toc85441893"/>
      <w:bookmarkStart w:id="114" w:name="_Toc85441699"/>
      <w:bookmarkStart w:id="115" w:name="_Toc85441797"/>
      <w:bookmarkStart w:id="116" w:name="_Toc85441894"/>
      <w:bookmarkStart w:id="117" w:name="_Toc85441700"/>
      <w:bookmarkStart w:id="118" w:name="_Toc85441798"/>
      <w:bookmarkStart w:id="119" w:name="_Toc85441895"/>
      <w:bookmarkStart w:id="120" w:name="_Toc85441701"/>
      <w:bookmarkStart w:id="121" w:name="_Toc85441799"/>
      <w:bookmarkStart w:id="122" w:name="_Toc85441896"/>
      <w:bookmarkStart w:id="123" w:name="_Toc85441703"/>
      <w:bookmarkStart w:id="124" w:name="_Toc85441801"/>
      <w:bookmarkStart w:id="125" w:name="_Toc85441898"/>
      <w:bookmarkStart w:id="126" w:name="_Toc85441704"/>
      <w:bookmarkStart w:id="127" w:name="_Toc85441802"/>
      <w:bookmarkStart w:id="128" w:name="_Toc85441899"/>
      <w:bookmarkStart w:id="129" w:name="_Toc85441705"/>
      <w:bookmarkStart w:id="130" w:name="_Toc85441803"/>
      <w:bookmarkStart w:id="131" w:name="_Toc85441900"/>
      <w:bookmarkStart w:id="132" w:name="_Toc85441706"/>
      <w:bookmarkStart w:id="133" w:name="_Toc85441804"/>
      <w:bookmarkStart w:id="134" w:name="_Toc85441901"/>
      <w:bookmarkStart w:id="135" w:name="_Toc85441708"/>
      <w:bookmarkStart w:id="136" w:name="_Toc85441806"/>
      <w:bookmarkStart w:id="137" w:name="_Toc85441903"/>
      <w:bookmarkStart w:id="138" w:name="_Toc85441710"/>
      <w:bookmarkStart w:id="139" w:name="_Toc85441808"/>
      <w:bookmarkStart w:id="140" w:name="_Toc85441905"/>
      <w:bookmarkStart w:id="141" w:name="_Toc85441711"/>
      <w:bookmarkStart w:id="142" w:name="_Toc85441809"/>
      <w:bookmarkStart w:id="143" w:name="_Toc85441906"/>
      <w:bookmarkStart w:id="144" w:name="_Toc85441712"/>
      <w:bookmarkStart w:id="145" w:name="_Toc85441810"/>
      <w:bookmarkStart w:id="146" w:name="_Toc85441907"/>
      <w:bookmarkStart w:id="147" w:name="_Toc85441713"/>
      <w:bookmarkStart w:id="148" w:name="_Toc85441811"/>
      <w:bookmarkStart w:id="149" w:name="_Toc85441908"/>
      <w:bookmarkStart w:id="150" w:name="_Toc85441715"/>
      <w:bookmarkStart w:id="151" w:name="_Toc85441813"/>
      <w:bookmarkStart w:id="152" w:name="_Toc85441910"/>
      <w:bookmarkStart w:id="153" w:name="_Toc85441716"/>
      <w:bookmarkStart w:id="154" w:name="_Toc85441814"/>
      <w:bookmarkStart w:id="155" w:name="_Toc85441911"/>
      <w:bookmarkStart w:id="156" w:name="_Toc85441717"/>
      <w:bookmarkStart w:id="157" w:name="_Toc85441815"/>
      <w:bookmarkStart w:id="158" w:name="_Toc85441912"/>
      <w:bookmarkStart w:id="159" w:name="_Toc85441718"/>
      <w:bookmarkStart w:id="160" w:name="_Toc85441816"/>
      <w:bookmarkStart w:id="161" w:name="_Toc85441913"/>
      <w:bookmarkStart w:id="162" w:name="_Toc85441720"/>
      <w:bookmarkStart w:id="163" w:name="_Toc85441818"/>
      <w:bookmarkStart w:id="164" w:name="_Toc85441915"/>
      <w:bookmarkStart w:id="165" w:name="_Toc85441721"/>
      <w:bookmarkStart w:id="166" w:name="_Toc85441819"/>
      <w:bookmarkStart w:id="167" w:name="_Toc85441916"/>
      <w:bookmarkStart w:id="168" w:name="_Toc85441722"/>
      <w:bookmarkStart w:id="169" w:name="_Toc85441820"/>
      <w:bookmarkStart w:id="170" w:name="_Toc85441917"/>
      <w:bookmarkStart w:id="171" w:name="_Toc85441723"/>
      <w:bookmarkStart w:id="172" w:name="_Toc85441821"/>
      <w:bookmarkStart w:id="173" w:name="_Toc85441918"/>
      <w:bookmarkStart w:id="174" w:name="_Toc85441725"/>
      <w:bookmarkStart w:id="175" w:name="_Toc85441823"/>
      <w:bookmarkStart w:id="176" w:name="_Toc85441920"/>
      <w:bookmarkStart w:id="177" w:name="_Toc85441727"/>
      <w:bookmarkStart w:id="178" w:name="_Toc85441825"/>
      <w:bookmarkStart w:id="179" w:name="_Toc85441922"/>
      <w:bookmarkStart w:id="180" w:name="_Toc85441728"/>
      <w:bookmarkStart w:id="181" w:name="_Toc85441826"/>
      <w:bookmarkStart w:id="182" w:name="_Toc85441923"/>
      <w:bookmarkStart w:id="183" w:name="_Toc85441729"/>
      <w:bookmarkStart w:id="184" w:name="_Toc85441827"/>
      <w:bookmarkStart w:id="185" w:name="_Toc85441924"/>
      <w:bookmarkStart w:id="186" w:name="_Toc85441731"/>
      <w:bookmarkStart w:id="187" w:name="_Toc85441829"/>
      <w:bookmarkStart w:id="188" w:name="_Toc85441926"/>
      <w:bookmarkStart w:id="189" w:name="_Toc85441732"/>
      <w:bookmarkStart w:id="190" w:name="_Toc85441830"/>
      <w:bookmarkStart w:id="191" w:name="_Toc85441927"/>
      <w:bookmarkStart w:id="192" w:name="_Toc85441734"/>
      <w:bookmarkStart w:id="193" w:name="_Toc85441832"/>
      <w:bookmarkStart w:id="194" w:name="_Toc85441929"/>
      <w:bookmarkStart w:id="195" w:name="_Toc85441735"/>
      <w:bookmarkStart w:id="196" w:name="_Toc85441833"/>
      <w:bookmarkStart w:id="197" w:name="_Toc85441930"/>
      <w:bookmarkStart w:id="198" w:name="_Toc85441737"/>
      <w:bookmarkStart w:id="199" w:name="_Toc85441835"/>
      <w:bookmarkStart w:id="200" w:name="_Toc85441932"/>
      <w:bookmarkStart w:id="201" w:name="_Toc85441739"/>
      <w:bookmarkStart w:id="202" w:name="_Toc85441837"/>
      <w:bookmarkStart w:id="203" w:name="_Toc85441934"/>
      <w:bookmarkStart w:id="204" w:name="_Toc85441740"/>
      <w:bookmarkStart w:id="205" w:name="_Toc85441838"/>
      <w:bookmarkStart w:id="206" w:name="_Toc85441935"/>
      <w:bookmarkStart w:id="207" w:name="_Toc85441741"/>
      <w:bookmarkStart w:id="208" w:name="_Toc85441839"/>
      <w:bookmarkStart w:id="209" w:name="_Toc85441936"/>
      <w:bookmarkStart w:id="210" w:name="_Toc85441743"/>
      <w:bookmarkStart w:id="211" w:name="_Toc85441841"/>
      <w:bookmarkStart w:id="212" w:name="_Toc85441938"/>
      <w:bookmarkStart w:id="213" w:name="_Toc85441744"/>
      <w:bookmarkStart w:id="214" w:name="_Toc85441842"/>
      <w:bookmarkStart w:id="215" w:name="_Toc85441939"/>
      <w:bookmarkStart w:id="216" w:name="_Toc85441746"/>
      <w:bookmarkStart w:id="217" w:name="_Toc85441844"/>
      <w:bookmarkStart w:id="218" w:name="_Toc85441941"/>
      <w:bookmarkStart w:id="219" w:name="_Toc85441747"/>
      <w:bookmarkStart w:id="220" w:name="_Toc85441845"/>
      <w:bookmarkStart w:id="221" w:name="_Toc85441942"/>
      <w:bookmarkStart w:id="222" w:name="_Toc85441749"/>
      <w:bookmarkStart w:id="223" w:name="_Toc85441847"/>
      <w:bookmarkStart w:id="224" w:name="_Toc85441944"/>
      <w:bookmarkStart w:id="225" w:name="_Toc85441750"/>
      <w:bookmarkStart w:id="226" w:name="_Toc85441848"/>
      <w:bookmarkStart w:id="227" w:name="_Toc85441945"/>
      <w:bookmarkStart w:id="228" w:name="_Toc82601597"/>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Pr>
          <w:b/>
          <w:bCs/>
          <w:smallCaps/>
        </w:rPr>
        <w:br w:type="page"/>
      </w:r>
    </w:p>
    <w:p w14:paraId="2131D2A7" w14:textId="0FEEDC30" w:rsidR="00915A3F" w:rsidRPr="000202DB" w:rsidRDefault="00915A3F" w:rsidP="006F3345">
      <w:pPr>
        <w:pStyle w:val="Heading2"/>
      </w:pPr>
      <w:bookmarkStart w:id="229" w:name="_Appendix_C:_List_1"/>
      <w:bookmarkStart w:id="230" w:name="_Toc174975062"/>
      <w:bookmarkEnd w:id="229"/>
      <w:r w:rsidRPr="000202DB">
        <w:lastRenderedPageBreak/>
        <w:t>A</w:t>
      </w:r>
      <w:r w:rsidRPr="009459A2">
        <w:t xml:space="preserve">ppendix </w:t>
      </w:r>
      <w:r w:rsidR="000347B4">
        <w:t>C</w:t>
      </w:r>
      <w:r w:rsidRPr="009459A2">
        <w:t>: List of Trade Agreements with List of Member Countries</w:t>
      </w:r>
      <w:bookmarkEnd w:id="230"/>
    </w:p>
    <w:p w14:paraId="02A4435D" w14:textId="229C97A6" w:rsidR="00F906EE" w:rsidRPr="003152AC" w:rsidRDefault="00F906EE" w:rsidP="00D255AC">
      <w:pPr>
        <w:pStyle w:val="ListParagraph"/>
        <w:numPr>
          <w:ilvl w:val="0"/>
          <w:numId w:val="36"/>
        </w:numPr>
        <w:spacing w:after="240" w:line="240" w:lineRule="auto"/>
        <w:ind w:left="360"/>
        <w:rPr>
          <w:rFonts w:eastAsia="Times New Roman" w:cs="Arial"/>
          <w:b/>
          <w:bCs/>
          <w:szCs w:val="24"/>
          <w:lang w:eastAsia="en-CA"/>
        </w:rPr>
      </w:pPr>
      <w:bookmarkStart w:id="231" w:name="_Appendix_C:_List"/>
      <w:bookmarkEnd w:id="228"/>
      <w:bookmarkEnd w:id="231"/>
      <w:r w:rsidRPr="003152AC">
        <w:rPr>
          <w:rFonts w:eastAsia="Times New Roman" w:cs="Arial"/>
          <w:b/>
          <w:bCs/>
          <w:szCs w:val="24"/>
          <w:lang w:eastAsia="en-CA"/>
        </w:rPr>
        <w:t xml:space="preserve">Comprehensive and Progressive </w:t>
      </w:r>
      <w:r w:rsidR="00691ACE" w:rsidRPr="003152AC">
        <w:rPr>
          <w:rFonts w:eastAsia="Times New Roman" w:cs="Arial"/>
          <w:b/>
          <w:bCs/>
          <w:szCs w:val="24"/>
          <w:lang w:eastAsia="en-CA"/>
        </w:rPr>
        <w:t xml:space="preserve">Agreement for </w:t>
      </w:r>
      <w:r w:rsidRPr="003152AC">
        <w:rPr>
          <w:rFonts w:eastAsia="Times New Roman" w:cs="Arial"/>
          <w:b/>
          <w:bCs/>
          <w:szCs w:val="24"/>
          <w:lang w:eastAsia="en-CA"/>
        </w:rPr>
        <w:t>Trans-Pacific Partnership (CPTPP)</w:t>
      </w:r>
    </w:p>
    <w:p w14:paraId="17A851D0" w14:textId="75C4F68C" w:rsidR="00D41DAE" w:rsidRPr="00C52E54" w:rsidRDefault="0007788D" w:rsidP="005A38CB">
      <w:pPr>
        <w:spacing w:after="240" w:line="240" w:lineRule="auto"/>
      </w:pPr>
      <w:r>
        <w:t>As of July 12, 2023, the CPTPP was in force for all 11 Parties listed below.</w:t>
      </w:r>
    </w:p>
    <w:p w14:paraId="2F57533C" w14:textId="49D92A4F" w:rsidR="00D41DAE" w:rsidRPr="00C52E54" w:rsidRDefault="0007788D" w:rsidP="005A38CB">
      <w:pPr>
        <w:spacing w:after="240" w:line="240" w:lineRule="auto"/>
      </w:pPr>
      <w:r w:rsidRPr="0007788D">
        <w:t>The UK signed an accession protocol to the CPTPP on July</w:t>
      </w:r>
      <w:r>
        <w:t xml:space="preserve"> 16,</w:t>
      </w:r>
      <w:r w:rsidRPr="0007788D">
        <w:t xml:space="preserve"> 2023</w:t>
      </w:r>
      <w:r w:rsidR="00D41DAE" w:rsidRPr="00C52E54">
        <w:t>.</w:t>
      </w:r>
      <w:r w:rsidR="00563BEB">
        <w:t xml:space="preserve"> </w:t>
      </w:r>
      <w:r w:rsidR="00563BEB" w:rsidRPr="00563BEB">
        <w:t xml:space="preserve">The CPTPP will enter into force for the UK once all CPTPP members and the UK complete their respective ratification processes. </w:t>
      </w:r>
    </w:p>
    <w:p w14:paraId="142B14F1" w14:textId="77777777" w:rsidR="00C70957" w:rsidRDefault="00C70957" w:rsidP="005A38CB">
      <w:pPr>
        <w:spacing w:after="240" w:line="240" w:lineRule="auto"/>
        <w:rPr>
          <w:b/>
          <w:bCs/>
        </w:rPr>
      </w:pPr>
      <w:r w:rsidRPr="00A76D70">
        <w:rPr>
          <w:b/>
          <w:bCs/>
        </w:rPr>
        <w:t>Parties</w:t>
      </w:r>
      <w:r>
        <w:rPr>
          <w:b/>
          <w:bCs/>
        </w:rPr>
        <w:t xml:space="preserve"> to the Agreement</w:t>
      </w:r>
      <w:r w:rsidRPr="00A76D70">
        <w:rPr>
          <w:b/>
          <w:bCs/>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70957" w14:paraId="72B92C33" w14:textId="77777777" w:rsidTr="00D80C5F">
        <w:trPr>
          <w:trHeight w:val="431"/>
        </w:trPr>
        <w:tc>
          <w:tcPr>
            <w:tcW w:w="3116" w:type="dxa"/>
          </w:tcPr>
          <w:p w14:paraId="53CF2C7A" w14:textId="77777777" w:rsidR="00C70957" w:rsidRPr="005A38CB" w:rsidRDefault="00C70957" w:rsidP="00D255AC">
            <w:pPr>
              <w:pStyle w:val="ListParagraph"/>
              <w:numPr>
                <w:ilvl w:val="0"/>
                <w:numId w:val="42"/>
              </w:numPr>
              <w:spacing w:before="0" w:after="0" w:line="240" w:lineRule="auto"/>
              <w:jc w:val="both"/>
              <w:rPr>
                <w:rFonts w:eastAsia="Times New Roman" w:cs="Arial"/>
                <w:szCs w:val="24"/>
                <w:lang w:eastAsia="en-CA"/>
              </w:rPr>
            </w:pPr>
            <w:r w:rsidRPr="005A38CB">
              <w:rPr>
                <w:rFonts w:eastAsia="Times New Roman" w:cs="Arial"/>
                <w:szCs w:val="24"/>
                <w:lang w:eastAsia="en-CA"/>
              </w:rPr>
              <w:t xml:space="preserve">1. Australia </w:t>
            </w:r>
          </w:p>
        </w:tc>
        <w:tc>
          <w:tcPr>
            <w:tcW w:w="3117" w:type="dxa"/>
          </w:tcPr>
          <w:p w14:paraId="4DEA36BC" w14:textId="77777777" w:rsidR="00C70957" w:rsidRPr="001F12F8" w:rsidRDefault="00C70957" w:rsidP="00D80C5F">
            <w:pPr>
              <w:spacing w:before="0" w:after="0" w:line="240" w:lineRule="auto"/>
              <w:ind w:left="357"/>
              <w:jc w:val="both"/>
              <w:rPr>
                <w:rFonts w:eastAsia="Times New Roman" w:cs="Arial"/>
                <w:szCs w:val="24"/>
                <w:lang w:eastAsia="en-CA"/>
              </w:rPr>
            </w:pPr>
            <w:r>
              <w:rPr>
                <w:rFonts w:eastAsia="Times New Roman" w:cs="Arial"/>
                <w:szCs w:val="24"/>
                <w:lang w:eastAsia="en-CA"/>
              </w:rPr>
              <w:t xml:space="preserve">5. </w:t>
            </w:r>
            <w:r w:rsidRPr="001F12F8">
              <w:rPr>
                <w:rFonts w:eastAsia="Times New Roman" w:cs="Arial"/>
                <w:szCs w:val="24"/>
                <w:lang w:eastAsia="en-CA"/>
              </w:rPr>
              <w:t xml:space="preserve">Japan </w:t>
            </w:r>
          </w:p>
        </w:tc>
        <w:tc>
          <w:tcPr>
            <w:tcW w:w="3117" w:type="dxa"/>
          </w:tcPr>
          <w:p w14:paraId="2D42B226" w14:textId="77777777" w:rsidR="00C70957" w:rsidRPr="001F12F8" w:rsidRDefault="00C70957" w:rsidP="00D80C5F">
            <w:pPr>
              <w:spacing w:before="0" w:after="0" w:line="240" w:lineRule="auto"/>
              <w:ind w:left="357"/>
              <w:jc w:val="both"/>
              <w:rPr>
                <w:rFonts w:eastAsia="Times New Roman" w:cs="Arial"/>
                <w:szCs w:val="24"/>
                <w:lang w:eastAsia="en-CA"/>
              </w:rPr>
            </w:pPr>
            <w:r>
              <w:rPr>
                <w:rFonts w:eastAsia="Times New Roman" w:cs="Arial"/>
                <w:szCs w:val="24"/>
                <w:lang w:eastAsia="en-CA"/>
              </w:rPr>
              <w:t xml:space="preserve">9. </w:t>
            </w:r>
            <w:r w:rsidRPr="001F12F8">
              <w:rPr>
                <w:rFonts w:eastAsia="Times New Roman" w:cs="Arial"/>
                <w:szCs w:val="24"/>
                <w:lang w:eastAsia="en-CA"/>
              </w:rPr>
              <w:t>Peru</w:t>
            </w:r>
          </w:p>
        </w:tc>
      </w:tr>
      <w:tr w:rsidR="00C70957" w14:paraId="0A147CEA" w14:textId="77777777" w:rsidTr="00D80C5F">
        <w:trPr>
          <w:trHeight w:val="311"/>
        </w:trPr>
        <w:tc>
          <w:tcPr>
            <w:tcW w:w="3116" w:type="dxa"/>
          </w:tcPr>
          <w:p w14:paraId="44E19CE9" w14:textId="77777777" w:rsidR="00C70957" w:rsidRPr="001F12F8" w:rsidRDefault="00C70957" w:rsidP="00D255AC">
            <w:pPr>
              <w:pStyle w:val="ListParagraph"/>
              <w:numPr>
                <w:ilvl w:val="0"/>
                <w:numId w:val="42"/>
              </w:numPr>
              <w:spacing w:before="0" w:after="0" w:line="240" w:lineRule="auto"/>
              <w:jc w:val="both"/>
              <w:rPr>
                <w:rFonts w:eastAsia="Times New Roman" w:cs="Arial"/>
                <w:szCs w:val="24"/>
                <w:lang w:eastAsia="en-CA"/>
              </w:rPr>
            </w:pPr>
            <w:r w:rsidRPr="001F12F8">
              <w:rPr>
                <w:rFonts w:eastAsia="Times New Roman" w:cs="Arial"/>
                <w:szCs w:val="24"/>
                <w:lang w:eastAsia="en-CA"/>
              </w:rPr>
              <w:t>Brunei</w:t>
            </w:r>
          </w:p>
        </w:tc>
        <w:tc>
          <w:tcPr>
            <w:tcW w:w="3117" w:type="dxa"/>
          </w:tcPr>
          <w:p w14:paraId="1E4D5E34" w14:textId="77777777" w:rsidR="00C70957" w:rsidRPr="001F12F8" w:rsidRDefault="00C70957" w:rsidP="00D80C5F">
            <w:pPr>
              <w:spacing w:before="0" w:after="0" w:line="240" w:lineRule="auto"/>
              <w:ind w:left="357"/>
              <w:jc w:val="both"/>
              <w:rPr>
                <w:rFonts w:eastAsia="Times New Roman" w:cs="Arial"/>
                <w:szCs w:val="24"/>
                <w:lang w:eastAsia="en-CA"/>
              </w:rPr>
            </w:pPr>
            <w:r>
              <w:rPr>
                <w:rFonts w:eastAsia="Times New Roman" w:cs="Arial"/>
                <w:szCs w:val="24"/>
                <w:lang w:eastAsia="en-CA"/>
              </w:rPr>
              <w:t xml:space="preserve">6. </w:t>
            </w:r>
            <w:r w:rsidRPr="001F12F8">
              <w:rPr>
                <w:rFonts w:eastAsia="Times New Roman" w:cs="Arial"/>
                <w:szCs w:val="24"/>
                <w:lang w:eastAsia="en-CA"/>
              </w:rPr>
              <w:t>Malaysia</w:t>
            </w:r>
          </w:p>
        </w:tc>
        <w:tc>
          <w:tcPr>
            <w:tcW w:w="3117" w:type="dxa"/>
          </w:tcPr>
          <w:p w14:paraId="1923B647" w14:textId="77777777" w:rsidR="00C70957" w:rsidRPr="001F12F8" w:rsidRDefault="00C70957" w:rsidP="00D80C5F">
            <w:pPr>
              <w:spacing w:before="0" w:after="0" w:line="240" w:lineRule="auto"/>
              <w:ind w:left="357"/>
              <w:jc w:val="both"/>
              <w:rPr>
                <w:rFonts w:eastAsia="Times New Roman" w:cs="Arial"/>
                <w:szCs w:val="24"/>
                <w:lang w:eastAsia="en-CA"/>
              </w:rPr>
            </w:pPr>
            <w:r>
              <w:rPr>
                <w:rFonts w:eastAsia="Times New Roman" w:cs="Arial"/>
                <w:szCs w:val="24"/>
                <w:lang w:eastAsia="en-CA"/>
              </w:rPr>
              <w:t xml:space="preserve">10. </w:t>
            </w:r>
            <w:r w:rsidRPr="001F12F8">
              <w:rPr>
                <w:rFonts w:eastAsia="Times New Roman" w:cs="Arial"/>
                <w:szCs w:val="24"/>
                <w:lang w:eastAsia="en-CA"/>
              </w:rPr>
              <w:t>Singapore</w:t>
            </w:r>
          </w:p>
        </w:tc>
      </w:tr>
      <w:tr w:rsidR="00C70957" w14:paraId="7D6C9EAA" w14:textId="77777777" w:rsidTr="00D80C5F">
        <w:trPr>
          <w:trHeight w:val="80"/>
        </w:trPr>
        <w:tc>
          <w:tcPr>
            <w:tcW w:w="3116" w:type="dxa"/>
          </w:tcPr>
          <w:p w14:paraId="4F08DC8C" w14:textId="77777777" w:rsidR="00C70957" w:rsidRPr="001F12F8" w:rsidRDefault="00C70957" w:rsidP="00D255AC">
            <w:pPr>
              <w:pStyle w:val="ListParagraph"/>
              <w:numPr>
                <w:ilvl w:val="0"/>
                <w:numId w:val="42"/>
              </w:numPr>
              <w:spacing w:before="0" w:after="0" w:line="240" w:lineRule="auto"/>
              <w:jc w:val="both"/>
              <w:rPr>
                <w:rFonts w:eastAsia="Times New Roman" w:cs="Arial"/>
                <w:szCs w:val="24"/>
                <w:lang w:eastAsia="en-CA"/>
              </w:rPr>
            </w:pPr>
            <w:r w:rsidRPr="001F12F8">
              <w:rPr>
                <w:rFonts w:eastAsia="Times New Roman" w:cs="Arial"/>
                <w:szCs w:val="24"/>
                <w:lang w:eastAsia="en-CA"/>
              </w:rPr>
              <w:t xml:space="preserve">Canada </w:t>
            </w:r>
          </w:p>
        </w:tc>
        <w:tc>
          <w:tcPr>
            <w:tcW w:w="3117" w:type="dxa"/>
          </w:tcPr>
          <w:p w14:paraId="2201C1E6" w14:textId="77777777" w:rsidR="00C70957" w:rsidRPr="001F12F8" w:rsidRDefault="00C70957" w:rsidP="00D80C5F">
            <w:pPr>
              <w:spacing w:before="0" w:after="0" w:line="240" w:lineRule="auto"/>
              <w:ind w:left="357"/>
              <w:jc w:val="both"/>
              <w:rPr>
                <w:rFonts w:eastAsia="Times New Roman" w:cs="Arial"/>
                <w:szCs w:val="24"/>
                <w:lang w:eastAsia="en-CA"/>
              </w:rPr>
            </w:pPr>
            <w:r>
              <w:rPr>
                <w:rFonts w:eastAsia="Times New Roman" w:cs="Arial"/>
                <w:szCs w:val="24"/>
                <w:lang w:eastAsia="en-CA"/>
              </w:rPr>
              <w:t xml:space="preserve">7. </w:t>
            </w:r>
            <w:r w:rsidRPr="001F12F8">
              <w:rPr>
                <w:rFonts w:eastAsia="Times New Roman" w:cs="Arial"/>
                <w:szCs w:val="24"/>
                <w:lang w:eastAsia="en-CA"/>
              </w:rPr>
              <w:t xml:space="preserve">Mexico </w:t>
            </w:r>
          </w:p>
        </w:tc>
        <w:tc>
          <w:tcPr>
            <w:tcW w:w="3117" w:type="dxa"/>
          </w:tcPr>
          <w:p w14:paraId="387862A1" w14:textId="77777777" w:rsidR="00C70957" w:rsidRPr="001F12F8" w:rsidRDefault="00C70957" w:rsidP="00D80C5F">
            <w:pPr>
              <w:spacing w:before="0" w:after="0" w:line="240" w:lineRule="auto"/>
              <w:ind w:left="357"/>
              <w:jc w:val="both"/>
              <w:rPr>
                <w:rFonts w:eastAsia="Times New Roman" w:cs="Arial"/>
                <w:szCs w:val="24"/>
                <w:lang w:eastAsia="en-CA"/>
              </w:rPr>
            </w:pPr>
            <w:r>
              <w:rPr>
                <w:rFonts w:eastAsia="Times New Roman" w:cs="Arial"/>
                <w:szCs w:val="24"/>
                <w:lang w:eastAsia="en-CA"/>
              </w:rPr>
              <w:t xml:space="preserve">11. </w:t>
            </w:r>
            <w:r w:rsidRPr="001F12F8">
              <w:rPr>
                <w:rFonts w:eastAsia="Times New Roman" w:cs="Arial"/>
                <w:szCs w:val="24"/>
                <w:lang w:eastAsia="en-CA"/>
              </w:rPr>
              <w:t>Vietnam</w:t>
            </w:r>
          </w:p>
        </w:tc>
      </w:tr>
      <w:tr w:rsidR="00C70957" w14:paraId="5CDB4C32" w14:textId="77777777" w:rsidTr="00D80C5F">
        <w:trPr>
          <w:trHeight w:val="327"/>
        </w:trPr>
        <w:tc>
          <w:tcPr>
            <w:tcW w:w="3116" w:type="dxa"/>
          </w:tcPr>
          <w:p w14:paraId="4B0FDA57" w14:textId="77777777" w:rsidR="00C70957" w:rsidRPr="001F12F8" w:rsidRDefault="00C70957" w:rsidP="00D255AC">
            <w:pPr>
              <w:pStyle w:val="ListParagraph"/>
              <w:numPr>
                <w:ilvl w:val="0"/>
                <w:numId w:val="42"/>
              </w:numPr>
              <w:spacing w:before="0" w:after="0" w:line="240" w:lineRule="auto"/>
              <w:jc w:val="both"/>
              <w:rPr>
                <w:rFonts w:eastAsia="Times New Roman" w:cs="Arial"/>
                <w:szCs w:val="24"/>
                <w:lang w:eastAsia="en-CA"/>
              </w:rPr>
            </w:pPr>
            <w:r w:rsidRPr="001F12F8">
              <w:rPr>
                <w:rFonts w:eastAsia="Times New Roman" w:cs="Arial"/>
                <w:szCs w:val="24"/>
                <w:lang w:eastAsia="en-CA"/>
              </w:rPr>
              <w:t>Chile</w:t>
            </w:r>
          </w:p>
        </w:tc>
        <w:tc>
          <w:tcPr>
            <w:tcW w:w="3117" w:type="dxa"/>
          </w:tcPr>
          <w:p w14:paraId="3A381BBD" w14:textId="77777777" w:rsidR="00C70957" w:rsidRPr="001F12F8" w:rsidRDefault="00C70957" w:rsidP="00D80C5F">
            <w:pPr>
              <w:spacing w:before="0" w:after="0" w:line="240" w:lineRule="auto"/>
              <w:ind w:left="357"/>
              <w:jc w:val="both"/>
              <w:rPr>
                <w:rFonts w:eastAsia="Times New Roman" w:cs="Arial"/>
                <w:szCs w:val="24"/>
                <w:lang w:eastAsia="en-CA"/>
              </w:rPr>
            </w:pPr>
            <w:r>
              <w:rPr>
                <w:rFonts w:eastAsia="Times New Roman" w:cs="Arial"/>
                <w:szCs w:val="24"/>
                <w:lang w:eastAsia="en-CA"/>
              </w:rPr>
              <w:t xml:space="preserve">8. </w:t>
            </w:r>
            <w:r w:rsidRPr="001F12F8">
              <w:rPr>
                <w:rFonts w:eastAsia="Times New Roman" w:cs="Arial"/>
                <w:szCs w:val="24"/>
                <w:lang w:eastAsia="en-CA"/>
              </w:rPr>
              <w:t xml:space="preserve">New Zealand </w:t>
            </w:r>
          </w:p>
        </w:tc>
        <w:tc>
          <w:tcPr>
            <w:tcW w:w="3117" w:type="dxa"/>
          </w:tcPr>
          <w:p w14:paraId="158CFD3A" w14:textId="77777777" w:rsidR="00C70957" w:rsidRPr="001F12F8" w:rsidRDefault="00C70957" w:rsidP="00D80C5F">
            <w:pPr>
              <w:spacing w:before="0" w:after="0" w:line="240" w:lineRule="auto"/>
              <w:ind w:left="357"/>
              <w:jc w:val="both"/>
              <w:rPr>
                <w:rFonts w:eastAsia="Times New Roman" w:cs="Arial"/>
                <w:szCs w:val="24"/>
                <w:lang w:eastAsia="en-CA"/>
              </w:rPr>
            </w:pPr>
            <w:r>
              <w:rPr>
                <w:rFonts w:eastAsia="Times New Roman" w:cs="Arial"/>
                <w:szCs w:val="24"/>
                <w:lang w:eastAsia="en-CA"/>
              </w:rPr>
              <w:t xml:space="preserve">12. </w:t>
            </w:r>
            <w:r w:rsidRPr="001F12F8">
              <w:rPr>
                <w:rFonts w:eastAsia="Times New Roman" w:cs="Arial"/>
                <w:szCs w:val="24"/>
                <w:lang w:eastAsia="en-CA"/>
              </w:rPr>
              <w:t xml:space="preserve">United Kingdom </w:t>
            </w:r>
          </w:p>
        </w:tc>
      </w:tr>
    </w:tbl>
    <w:p w14:paraId="640707DB" w14:textId="77777777" w:rsidR="00C70957" w:rsidRDefault="00C70957" w:rsidP="00C70957">
      <w:pPr>
        <w:rPr>
          <w:rFonts w:cs="Arial"/>
          <w:szCs w:val="24"/>
        </w:rPr>
      </w:pPr>
      <w:r>
        <w:rPr>
          <w:b/>
          <w:bCs/>
        </w:rPr>
        <w:t xml:space="preserve">Source: </w:t>
      </w:r>
      <w:hyperlink r:id="rId18" w:history="1">
        <w:r w:rsidRPr="003F110F">
          <w:rPr>
            <w:rStyle w:val="Hyperlink"/>
            <w:rFonts w:cs="Arial"/>
            <w:szCs w:val="24"/>
          </w:rPr>
          <w:t>https://www.international.gc.ca/trade-commerce/trade-agreements-accords-commerciaux/agr-acc/cptpp-ptpgp/index.aspx?lang=eng</w:t>
        </w:r>
      </w:hyperlink>
    </w:p>
    <w:p w14:paraId="2ED134C4" w14:textId="0595F4C5" w:rsidR="00F906EE" w:rsidRPr="006F616E" w:rsidRDefault="00F906EE" w:rsidP="00D255AC">
      <w:pPr>
        <w:pStyle w:val="ListParagraph"/>
        <w:numPr>
          <w:ilvl w:val="0"/>
          <w:numId w:val="36"/>
        </w:numPr>
        <w:spacing w:after="240" w:line="240" w:lineRule="auto"/>
        <w:ind w:left="360"/>
        <w:rPr>
          <w:rFonts w:eastAsia="Times New Roman" w:cs="Arial"/>
          <w:b/>
          <w:bCs/>
          <w:szCs w:val="24"/>
          <w:lang w:eastAsia="en-CA"/>
        </w:rPr>
      </w:pPr>
      <w:r w:rsidRPr="006F616E">
        <w:rPr>
          <w:rFonts w:eastAsia="Times New Roman" w:cs="Arial"/>
          <w:b/>
          <w:bCs/>
          <w:szCs w:val="24"/>
          <w:lang w:eastAsia="en-CA"/>
        </w:rPr>
        <w:t xml:space="preserve">World Trade Organization </w:t>
      </w:r>
      <w:r w:rsidR="002700A0" w:rsidRPr="006F616E">
        <w:rPr>
          <w:rFonts w:eastAsia="Times New Roman" w:cs="Arial"/>
          <w:b/>
          <w:bCs/>
          <w:szCs w:val="24"/>
          <w:lang w:eastAsia="en-CA"/>
        </w:rPr>
        <w:t xml:space="preserve">Revised </w:t>
      </w:r>
      <w:r w:rsidRPr="006F616E">
        <w:rPr>
          <w:rFonts w:eastAsia="Times New Roman" w:cs="Arial"/>
          <w:b/>
          <w:bCs/>
          <w:szCs w:val="24"/>
          <w:lang w:eastAsia="en-CA"/>
        </w:rPr>
        <w:t>Agreement</w:t>
      </w:r>
      <w:r w:rsidR="002700A0" w:rsidRPr="006F616E">
        <w:rPr>
          <w:rFonts w:eastAsia="Times New Roman" w:cs="Arial"/>
          <w:b/>
          <w:bCs/>
          <w:szCs w:val="24"/>
          <w:lang w:eastAsia="en-CA"/>
        </w:rPr>
        <w:t xml:space="preserve"> on Government Procurement</w:t>
      </w:r>
      <w:r w:rsidRPr="006F616E">
        <w:rPr>
          <w:rFonts w:eastAsia="Times New Roman" w:cs="Arial"/>
          <w:b/>
          <w:bCs/>
          <w:szCs w:val="24"/>
          <w:lang w:eastAsia="en-CA"/>
        </w:rPr>
        <w:t xml:space="preserve"> (WTO</w:t>
      </w:r>
      <w:r w:rsidR="002700A0" w:rsidRPr="006F616E">
        <w:rPr>
          <w:rFonts w:eastAsia="Times New Roman" w:cs="Arial"/>
          <w:b/>
          <w:bCs/>
          <w:szCs w:val="24"/>
          <w:lang w:eastAsia="en-CA"/>
        </w:rPr>
        <w:t xml:space="preserve"> </w:t>
      </w:r>
      <w:r w:rsidRPr="006F616E">
        <w:rPr>
          <w:rFonts w:eastAsia="Times New Roman" w:cs="Arial"/>
          <w:b/>
          <w:bCs/>
          <w:szCs w:val="24"/>
          <w:lang w:eastAsia="en-CA"/>
        </w:rPr>
        <w:t>GPA)</w:t>
      </w:r>
    </w:p>
    <w:p w14:paraId="3D4F1214" w14:textId="126D3A2A" w:rsidR="006A4698" w:rsidRDefault="006A4698" w:rsidP="005A38CB">
      <w:pPr>
        <w:spacing w:after="240" w:line="240" w:lineRule="auto"/>
        <w:rPr>
          <w:szCs w:val="24"/>
        </w:rPr>
      </w:pPr>
      <w:r w:rsidRPr="00AB32D6">
        <w:rPr>
          <w:szCs w:val="24"/>
        </w:rPr>
        <w:t xml:space="preserve">The </w:t>
      </w:r>
      <w:r w:rsidR="002700A0">
        <w:rPr>
          <w:szCs w:val="24"/>
        </w:rPr>
        <w:t xml:space="preserve">WTO Revised </w:t>
      </w:r>
      <w:r w:rsidRPr="00AB32D6">
        <w:rPr>
          <w:szCs w:val="24"/>
        </w:rPr>
        <w:t>Agreement on Government Procurement (</w:t>
      </w:r>
      <w:r w:rsidR="002700A0">
        <w:rPr>
          <w:szCs w:val="24"/>
        </w:rPr>
        <w:t xml:space="preserve">WTO </w:t>
      </w:r>
      <w:r w:rsidRPr="00AB32D6">
        <w:rPr>
          <w:szCs w:val="24"/>
        </w:rPr>
        <w:t xml:space="preserve">GPA) has 22 parties (covering 49 WTO members, counting the European Union and its 27 member states as one party). </w:t>
      </w:r>
      <w:r w:rsidR="00C53631">
        <w:rPr>
          <w:szCs w:val="24"/>
        </w:rPr>
        <w:t>This</w:t>
      </w:r>
      <w:r w:rsidR="00C53631" w:rsidRPr="00C53631">
        <w:rPr>
          <w:szCs w:val="24"/>
        </w:rPr>
        <w:t xml:space="preserve"> </w:t>
      </w:r>
      <w:r w:rsidR="002700A0">
        <w:rPr>
          <w:szCs w:val="24"/>
        </w:rPr>
        <w:t xml:space="preserve">2012 WTO GPA </w:t>
      </w:r>
      <w:r w:rsidR="00C53631">
        <w:rPr>
          <w:szCs w:val="24"/>
        </w:rPr>
        <w:t>came into force for all parties on</w:t>
      </w:r>
      <w:r w:rsidR="00C53631" w:rsidRPr="00C53631">
        <w:rPr>
          <w:szCs w:val="24"/>
        </w:rPr>
        <w:t xml:space="preserve"> January</w:t>
      </w:r>
      <w:r w:rsidR="00C53631">
        <w:rPr>
          <w:szCs w:val="24"/>
        </w:rPr>
        <w:t xml:space="preserve"> 1,</w:t>
      </w:r>
      <w:r w:rsidR="00C53631" w:rsidRPr="00C53631">
        <w:rPr>
          <w:szCs w:val="24"/>
        </w:rPr>
        <w:t xml:space="preserve"> 2021.</w:t>
      </w:r>
    </w:p>
    <w:p w14:paraId="0B9E2D03" w14:textId="560720BC" w:rsidR="00691ACE" w:rsidRPr="000202DB" w:rsidRDefault="00691ACE" w:rsidP="005A38CB">
      <w:pPr>
        <w:spacing w:after="240" w:line="240" w:lineRule="auto"/>
        <w:rPr>
          <w:rFonts w:eastAsia="Times New Roman" w:cs="Arial"/>
          <w:b/>
          <w:bCs/>
          <w:szCs w:val="24"/>
          <w:lang w:eastAsia="en-CA"/>
        </w:rPr>
      </w:pPr>
      <w:r w:rsidRPr="000202DB">
        <w:rPr>
          <w:rFonts w:eastAsia="Times New Roman" w:cs="Arial"/>
          <w:b/>
          <w:bCs/>
          <w:szCs w:val="24"/>
          <w:lang w:eastAsia="en-CA"/>
        </w:rPr>
        <w:t>Parties</w:t>
      </w:r>
      <w:r w:rsidR="006A4698">
        <w:rPr>
          <w:rFonts w:eastAsia="Times New Roman" w:cs="Arial"/>
          <w:b/>
          <w:bCs/>
          <w:szCs w:val="24"/>
          <w:lang w:eastAsia="en-CA"/>
        </w:rPr>
        <w:t xml:space="preserve"> to the Agreement</w:t>
      </w:r>
    </w:p>
    <w:p w14:paraId="60233847" w14:textId="77777777" w:rsidR="00D360F7" w:rsidRPr="00E67C8F" w:rsidRDefault="00D360F7" w:rsidP="00D255AC">
      <w:pPr>
        <w:pStyle w:val="ListParagraph"/>
        <w:numPr>
          <w:ilvl w:val="0"/>
          <w:numId w:val="35"/>
        </w:numPr>
        <w:spacing w:after="240" w:line="240" w:lineRule="auto"/>
        <w:rPr>
          <w:rFonts w:eastAsia="Times New Roman" w:cs="Arial"/>
          <w:szCs w:val="24"/>
          <w:lang w:eastAsia="en-CA"/>
        </w:rPr>
      </w:pPr>
      <w:r w:rsidRPr="00E67C8F">
        <w:rPr>
          <w:rFonts w:eastAsia="Times New Roman" w:cs="Arial"/>
          <w:lang w:eastAsia="en-CA"/>
        </w:rPr>
        <w:t>Armenia</w:t>
      </w:r>
    </w:p>
    <w:p w14:paraId="4232E8D0" w14:textId="77777777" w:rsidR="00D360F7" w:rsidRPr="00E67C8F" w:rsidRDefault="00D360F7" w:rsidP="00D255AC">
      <w:pPr>
        <w:pStyle w:val="ListParagraph"/>
        <w:numPr>
          <w:ilvl w:val="0"/>
          <w:numId w:val="35"/>
        </w:numPr>
        <w:rPr>
          <w:rFonts w:eastAsia="Times New Roman" w:cs="Arial"/>
          <w:szCs w:val="24"/>
          <w:lang w:eastAsia="en-CA"/>
        </w:rPr>
      </w:pPr>
      <w:r w:rsidRPr="00E67C8F">
        <w:rPr>
          <w:rFonts w:eastAsia="Times New Roman" w:cs="Arial"/>
          <w:lang w:eastAsia="en-CA"/>
        </w:rPr>
        <w:t>Australia</w:t>
      </w:r>
    </w:p>
    <w:p w14:paraId="361A586B" w14:textId="77777777" w:rsidR="00D360F7" w:rsidRPr="00E67C8F" w:rsidRDefault="00D360F7" w:rsidP="00D255AC">
      <w:pPr>
        <w:pStyle w:val="ListParagraph"/>
        <w:numPr>
          <w:ilvl w:val="0"/>
          <w:numId w:val="35"/>
        </w:numPr>
        <w:rPr>
          <w:rFonts w:eastAsia="Times New Roman" w:cs="Arial"/>
          <w:szCs w:val="24"/>
          <w:lang w:eastAsia="en-CA"/>
        </w:rPr>
      </w:pPr>
      <w:r w:rsidRPr="00E67C8F">
        <w:rPr>
          <w:rFonts w:eastAsia="Times New Roman" w:cs="Arial"/>
          <w:lang w:eastAsia="en-CA"/>
        </w:rPr>
        <w:t>Canada</w:t>
      </w:r>
    </w:p>
    <w:p w14:paraId="2BBEC715" w14:textId="23049D3B" w:rsidR="00D360F7" w:rsidRPr="00E67C8F" w:rsidRDefault="00D360F7" w:rsidP="00D255AC">
      <w:pPr>
        <w:pStyle w:val="ListParagraph"/>
        <w:numPr>
          <w:ilvl w:val="0"/>
          <w:numId w:val="35"/>
        </w:numPr>
        <w:rPr>
          <w:rFonts w:eastAsia="Times New Roman" w:cs="Arial"/>
          <w:szCs w:val="24"/>
          <w:lang w:eastAsia="en-CA"/>
        </w:rPr>
      </w:pPr>
      <w:r w:rsidRPr="00E67C8F">
        <w:rPr>
          <w:rFonts w:eastAsia="Times New Roman" w:cs="Arial"/>
          <w:lang w:eastAsia="en-CA"/>
        </w:rPr>
        <w:t>European Union (and its 27 member states): Austria, Belgium, Bulgaria, Croatia, Cyprus, Czech Republic</w:t>
      </w:r>
      <w:r w:rsidR="00C53631">
        <w:rPr>
          <w:rFonts w:eastAsia="Times New Roman" w:cs="Arial"/>
          <w:lang w:eastAsia="en-CA"/>
        </w:rPr>
        <w:t>,</w:t>
      </w:r>
      <w:r w:rsidRPr="00E67C8F">
        <w:rPr>
          <w:rFonts w:eastAsia="Times New Roman" w:cs="Arial"/>
          <w:lang w:eastAsia="en-CA"/>
        </w:rPr>
        <w:t xml:space="preserve"> Denmark, Estonia, Finland, France, Germany, Greece, Hungary, Ireland, Italy, Latvia, Lithuania, Luxembourg, Malta, Netherlands, Poland, Portugal, Romania, Slovak Republic</w:t>
      </w:r>
      <w:r w:rsidR="00C53631">
        <w:rPr>
          <w:rFonts w:eastAsia="Times New Roman" w:cs="Arial"/>
          <w:lang w:eastAsia="en-CA"/>
        </w:rPr>
        <w:t>,</w:t>
      </w:r>
      <w:r w:rsidRPr="00E67C8F">
        <w:rPr>
          <w:rFonts w:eastAsia="Times New Roman" w:cs="Arial"/>
          <w:lang w:eastAsia="en-CA"/>
        </w:rPr>
        <w:t xml:space="preserve"> Slovenia</w:t>
      </w:r>
      <w:r w:rsidR="00C53631">
        <w:rPr>
          <w:rFonts w:eastAsia="Times New Roman" w:cs="Arial"/>
          <w:lang w:eastAsia="en-CA"/>
        </w:rPr>
        <w:t>, Spain,</w:t>
      </w:r>
      <w:r w:rsidRPr="00E67C8F">
        <w:rPr>
          <w:rFonts w:eastAsia="Times New Roman" w:cs="Arial"/>
          <w:lang w:eastAsia="en-CA"/>
        </w:rPr>
        <w:t xml:space="preserve"> and Sweden </w:t>
      </w:r>
    </w:p>
    <w:p w14:paraId="50E82BAC" w14:textId="77777777" w:rsidR="00D360F7" w:rsidRPr="00E67C8F" w:rsidRDefault="00D360F7" w:rsidP="00D255AC">
      <w:pPr>
        <w:pStyle w:val="ListParagraph"/>
        <w:numPr>
          <w:ilvl w:val="0"/>
          <w:numId w:val="35"/>
        </w:numPr>
        <w:rPr>
          <w:rFonts w:eastAsia="Times New Roman" w:cs="Arial"/>
          <w:szCs w:val="24"/>
          <w:lang w:eastAsia="en-CA"/>
        </w:rPr>
      </w:pPr>
      <w:r w:rsidRPr="00E67C8F">
        <w:rPr>
          <w:rFonts w:eastAsia="Times New Roman" w:cs="Arial"/>
          <w:lang w:eastAsia="en-CA"/>
        </w:rPr>
        <w:lastRenderedPageBreak/>
        <w:t>Hong Kong, China</w:t>
      </w:r>
    </w:p>
    <w:p w14:paraId="75E0446A" w14:textId="77777777" w:rsidR="00D360F7" w:rsidRPr="00E67C8F" w:rsidRDefault="00D360F7" w:rsidP="00D255AC">
      <w:pPr>
        <w:pStyle w:val="ListParagraph"/>
        <w:numPr>
          <w:ilvl w:val="0"/>
          <w:numId w:val="35"/>
        </w:numPr>
        <w:rPr>
          <w:rFonts w:eastAsia="Times New Roman" w:cs="Arial"/>
          <w:szCs w:val="24"/>
          <w:lang w:eastAsia="en-CA"/>
        </w:rPr>
      </w:pPr>
      <w:r w:rsidRPr="00E67C8F">
        <w:rPr>
          <w:rFonts w:eastAsia="Times New Roman" w:cs="Arial"/>
          <w:lang w:eastAsia="en-CA"/>
        </w:rPr>
        <w:t>Iceland</w:t>
      </w:r>
    </w:p>
    <w:p w14:paraId="37AD9C08" w14:textId="77777777" w:rsidR="00D360F7" w:rsidRPr="00E67C8F" w:rsidRDefault="00D360F7" w:rsidP="00D255AC">
      <w:pPr>
        <w:pStyle w:val="ListParagraph"/>
        <w:numPr>
          <w:ilvl w:val="0"/>
          <w:numId w:val="35"/>
        </w:numPr>
        <w:rPr>
          <w:rFonts w:eastAsia="Times New Roman" w:cs="Arial"/>
          <w:szCs w:val="24"/>
          <w:lang w:eastAsia="en-CA"/>
        </w:rPr>
      </w:pPr>
      <w:r w:rsidRPr="00E67C8F">
        <w:rPr>
          <w:rFonts w:eastAsia="Times New Roman" w:cs="Arial"/>
          <w:lang w:eastAsia="en-CA"/>
        </w:rPr>
        <w:t>Israel</w:t>
      </w:r>
    </w:p>
    <w:p w14:paraId="1A47ACC2" w14:textId="77777777" w:rsidR="00D360F7" w:rsidRPr="00E67C8F" w:rsidRDefault="00D360F7" w:rsidP="00D255AC">
      <w:pPr>
        <w:pStyle w:val="ListParagraph"/>
        <w:numPr>
          <w:ilvl w:val="0"/>
          <w:numId w:val="35"/>
        </w:numPr>
        <w:rPr>
          <w:rFonts w:eastAsia="Times New Roman" w:cs="Arial"/>
          <w:szCs w:val="24"/>
          <w:lang w:eastAsia="en-CA"/>
        </w:rPr>
      </w:pPr>
      <w:r w:rsidRPr="00E67C8F">
        <w:rPr>
          <w:rFonts w:eastAsia="Times New Roman" w:cs="Arial"/>
          <w:lang w:eastAsia="en-CA"/>
        </w:rPr>
        <w:t xml:space="preserve">Japan </w:t>
      </w:r>
    </w:p>
    <w:p w14:paraId="4ABB5DC0" w14:textId="77777777" w:rsidR="00D360F7" w:rsidRPr="00E67C8F" w:rsidRDefault="00D360F7" w:rsidP="00D255AC">
      <w:pPr>
        <w:pStyle w:val="ListParagraph"/>
        <w:numPr>
          <w:ilvl w:val="0"/>
          <w:numId w:val="35"/>
        </w:numPr>
        <w:rPr>
          <w:rFonts w:eastAsia="Times New Roman" w:cs="Arial"/>
          <w:szCs w:val="24"/>
          <w:lang w:eastAsia="en-CA"/>
        </w:rPr>
      </w:pPr>
      <w:r w:rsidRPr="00E67C8F">
        <w:rPr>
          <w:rFonts w:eastAsia="Times New Roman" w:cs="Arial"/>
          <w:lang w:eastAsia="en-CA"/>
        </w:rPr>
        <w:t>Korea, Republic of</w:t>
      </w:r>
    </w:p>
    <w:p w14:paraId="11086F56" w14:textId="77777777" w:rsidR="00D360F7" w:rsidRPr="00E67C8F" w:rsidRDefault="00D360F7" w:rsidP="00D255AC">
      <w:pPr>
        <w:pStyle w:val="ListParagraph"/>
        <w:numPr>
          <w:ilvl w:val="0"/>
          <w:numId w:val="35"/>
        </w:numPr>
        <w:rPr>
          <w:rFonts w:eastAsia="Times New Roman" w:cs="Arial"/>
          <w:szCs w:val="24"/>
          <w:lang w:eastAsia="en-CA"/>
        </w:rPr>
      </w:pPr>
      <w:r w:rsidRPr="00E67C8F">
        <w:rPr>
          <w:rFonts w:eastAsia="Times New Roman" w:cs="Arial"/>
          <w:lang w:eastAsia="en-CA"/>
        </w:rPr>
        <w:t>Liechtenstein</w:t>
      </w:r>
    </w:p>
    <w:p w14:paraId="0BA3EEE4" w14:textId="77777777" w:rsidR="00D360F7" w:rsidRPr="00E67C8F" w:rsidRDefault="00D360F7" w:rsidP="00D255AC">
      <w:pPr>
        <w:pStyle w:val="ListParagraph"/>
        <w:numPr>
          <w:ilvl w:val="0"/>
          <w:numId w:val="35"/>
        </w:numPr>
        <w:rPr>
          <w:rFonts w:eastAsia="Times New Roman" w:cs="Arial"/>
          <w:szCs w:val="24"/>
          <w:lang w:eastAsia="en-CA"/>
        </w:rPr>
      </w:pPr>
      <w:r w:rsidRPr="00E67C8F">
        <w:rPr>
          <w:rFonts w:eastAsia="Times New Roman" w:cs="Arial"/>
          <w:lang w:eastAsia="en-CA"/>
        </w:rPr>
        <w:t>Moldova, Republic of</w:t>
      </w:r>
    </w:p>
    <w:p w14:paraId="2B106098" w14:textId="77777777" w:rsidR="00D360F7" w:rsidRPr="00E67C8F" w:rsidRDefault="00D360F7" w:rsidP="00D255AC">
      <w:pPr>
        <w:pStyle w:val="ListParagraph"/>
        <w:numPr>
          <w:ilvl w:val="0"/>
          <w:numId w:val="35"/>
        </w:numPr>
        <w:rPr>
          <w:rFonts w:eastAsia="Times New Roman" w:cs="Arial"/>
          <w:szCs w:val="24"/>
          <w:lang w:eastAsia="en-CA"/>
        </w:rPr>
      </w:pPr>
      <w:r w:rsidRPr="00E67C8F">
        <w:rPr>
          <w:rFonts w:eastAsia="Times New Roman" w:cs="Arial"/>
          <w:lang w:eastAsia="en-CA"/>
        </w:rPr>
        <w:t>Montenegro</w:t>
      </w:r>
    </w:p>
    <w:p w14:paraId="2E5670CD" w14:textId="77777777" w:rsidR="00D360F7" w:rsidRPr="00E67C8F" w:rsidRDefault="00D360F7" w:rsidP="00D255AC">
      <w:pPr>
        <w:pStyle w:val="ListParagraph"/>
        <w:numPr>
          <w:ilvl w:val="0"/>
          <w:numId w:val="35"/>
        </w:numPr>
        <w:rPr>
          <w:rFonts w:eastAsia="Times New Roman" w:cs="Arial"/>
          <w:szCs w:val="24"/>
          <w:lang w:eastAsia="en-CA"/>
        </w:rPr>
      </w:pPr>
      <w:r w:rsidRPr="00E67C8F">
        <w:rPr>
          <w:rFonts w:eastAsia="Times New Roman" w:cs="Arial"/>
          <w:lang w:eastAsia="en-CA"/>
        </w:rPr>
        <w:t>Netherlands with respect to Aruba</w:t>
      </w:r>
    </w:p>
    <w:p w14:paraId="45322A2F" w14:textId="77777777" w:rsidR="00D360F7" w:rsidRPr="00E67C8F" w:rsidRDefault="00D360F7" w:rsidP="00D255AC">
      <w:pPr>
        <w:pStyle w:val="ListParagraph"/>
        <w:numPr>
          <w:ilvl w:val="0"/>
          <w:numId w:val="35"/>
        </w:numPr>
        <w:rPr>
          <w:rFonts w:eastAsia="Times New Roman" w:cs="Arial"/>
          <w:szCs w:val="24"/>
          <w:lang w:eastAsia="en-CA"/>
        </w:rPr>
      </w:pPr>
      <w:r w:rsidRPr="00E67C8F">
        <w:rPr>
          <w:rFonts w:eastAsia="Times New Roman" w:cs="Arial"/>
          <w:lang w:eastAsia="en-CA"/>
        </w:rPr>
        <w:t>New Zealand</w:t>
      </w:r>
    </w:p>
    <w:p w14:paraId="30893261" w14:textId="77777777" w:rsidR="00D360F7" w:rsidRPr="00E67C8F" w:rsidRDefault="00D360F7" w:rsidP="00D255AC">
      <w:pPr>
        <w:pStyle w:val="ListParagraph"/>
        <w:numPr>
          <w:ilvl w:val="0"/>
          <w:numId w:val="35"/>
        </w:numPr>
        <w:rPr>
          <w:rFonts w:eastAsia="Times New Roman" w:cs="Arial"/>
          <w:szCs w:val="24"/>
          <w:lang w:eastAsia="en-CA"/>
        </w:rPr>
      </w:pPr>
      <w:r w:rsidRPr="00E67C8F">
        <w:rPr>
          <w:rFonts w:eastAsia="Times New Roman" w:cs="Arial"/>
          <w:lang w:eastAsia="en-CA"/>
        </w:rPr>
        <w:t>North Macedonia</w:t>
      </w:r>
    </w:p>
    <w:p w14:paraId="1A5E7CE5" w14:textId="77777777" w:rsidR="00D360F7" w:rsidRPr="00E67C8F" w:rsidRDefault="00D360F7" w:rsidP="00D255AC">
      <w:pPr>
        <w:pStyle w:val="ListParagraph"/>
        <w:numPr>
          <w:ilvl w:val="0"/>
          <w:numId w:val="35"/>
        </w:numPr>
        <w:rPr>
          <w:rFonts w:eastAsia="Times New Roman" w:cs="Arial"/>
          <w:szCs w:val="24"/>
          <w:lang w:eastAsia="en-CA"/>
        </w:rPr>
      </w:pPr>
      <w:r w:rsidRPr="00E67C8F">
        <w:rPr>
          <w:rFonts w:eastAsia="Times New Roman" w:cs="Arial"/>
          <w:lang w:eastAsia="en-CA"/>
        </w:rPr>
        <w:t>Norway</w:t>
      </w:r>
    </w:p>
    <w:p w14:paraId="35EA25DF" w14:textId="77777777" w:rsidR="00D360F7" w:rsidRPr="00E67C8F" w:rsidRDefault="00D360F7" w:rsidP="00D255AC">
      <w:pPr>
        <w:pStyle w:val="ListParagraph"/>
        <w:numPr>
          <w:ilvl w:val="0"/>
          <w:numId w:val="35"/>
        </w:numPr>
        <w:rPr>
          <w:rFonts w:eastAsia="Times New Roman" w:cs="Arial"/>
          <w:szCs w:val="24"/>
          <w:lang w:eastAsia="en-CA"/>
        </w:rPr>
      </w:pPr>
      <w:r w:rsidRPr="00E67C8F">
        <w:rPr>
          <w:rFonts w:eastAsia="Times New Roman" w:cs="Arial"/>
          <w:lang w:eastAsia="en-CA"/>
        </w:rPr>
        <w:t>Singapore</w:t>
      </w:r>
    </w:p>
    <w:p w14:paraId="72BBBD31" w14:textId="77777777" w:rsidR="00D360F7" w:rsidRPr="00E67C8F" w:rsidRDefault="00D360F7" w:rsidP="00D255AC">
      <w:pPr>
        <w:pStyle w:val="ListParagraph"/>
        <w:numPr>
          <w:ilvl w:val="0"/>
          <w:numId w:val="35"/>
        </w:numPr>
        <w:rPr>
          <w:rFonts w:eastAsia="Times New Roman" w:cs="Arial"/>
          <w:szCs w:val="24"/>
          <w:lang w:eastAsia="en-CA"/>
        </w:rPr>
      </w:pPr>
      <w:r w:rsidRPr="00E67C8F">
        <w:rPr>
          <w:rFonts w:eastAsia="Times New Roman" w:cs="Arial"/>
          <w:lang w:eastAsia="en-CA"/>
        </w:rPr>
        <w:t>Switzerland</w:t>
      </w:r>
    </w:p>
    <w:p w14:paraId="2755F132" w14:textId="77777777" w:rsidR="00D360F7" w:rsidRPr="00E67C8F" w:rsidRDefault="00D360F7" w:rsidP="00D255AC">
      <w:pPr>
        <w:pStyle w:val="ListParagraph"/>
        <w:numPr>
          <w:ilvl w:val="0"/>
          <w:numId w:val="35"/>
        </w:numPr>
        <w:rPr>
          <w:rFonts w:eastAsia="Times New Roman" w:cs="Arial"/>
          <w:szCs w:val="24"/>
          <w:lang w:eastAsia="en-CA"/>
        </w:rPr>
      </w:pPr>
      <w:r w:rsidRPr="00E67C8F">
        <w:rPr>
          <w:rFonts w:eastAsia="Times New Roman" w:cs="Arial"/>
          <w:lang w:eastAsia="en-CA"/>
        </w:rPr>
        <w:t>Chinese Taipei</w:t>
      </w:r>
    </w:p>
    <w:p w14:paraId="2712D053" w14:textId="77777777" w:rsidR="00D360F7" w:rsidRPr="00E67C8F" w:rsidRDefault="00D360F7" w:rsidP="00D255AC">
      <w:pPr>
        <w:pStyle w:val="ListParagraph"/>
        <w:numPr>
          <w:ilvl w:val="0"/>
          <w:numId w:val="35"/>
        </w:numPr>
        <w:rPr>
          <w:rFonts w:eastAsia="Times New Roman" w:cs="Arial"/>
          <w:szCs w:val="24"/>
          <w:lang w:eastAsia="en-CA"/>
        </w:rPr>
      </w:pPr>
      <w:r w:rsidRPr="00E67C8F">
        <w:rPr>
          <w:rFonts w:eastAsia="Times New Roman" w:cs="Arial"/>
          <w:lang w:eastAsia="en-CA"/>
        </w:rPr>
        <w:t>Ukraine</w:t>
      </w:r>
    </w:p>
    <w:p w14:paraId="17CECCBB" w14:textId="5F95CDCB" w:rsidR="00D360F7" w:rsidRPr="00E67C8F" w:rsidRDefault="00D360F7" w:rsidP="00D255AC">
      <w:pPr>
        <w:pStyle w:val="ListParagraph"/>
        <w:numPr>
          <w:ilvl w:val="0"/>
          <w:numId w:val="35"/>
        </w:numPr>
        <w:rPr>
          <w:rFonts w:eastAsia="Times New Roman" w:cs="Arial"/>
          <w:szCs w:val="24"/>
          <w:lang w:eastAsia="en-CA"/>
        </w:rPr>
      </w:pPr>
      <w:r w:rsidRPr="00E67C8F">
        <w:rPr>
          <w:rFonts w:eastAsia="Times New Roman" w:cs="Arial"/>
          <w:lang w:eastAsia="en-CA"/>
        </w:rPr>
        <w:t>United Kingdom</w:t>
      </w:r>
      <w:r w:rsidR="00725A8C" w:rsidRPr="00E67C8F">
        <w:rPr>
          <w:rFonts w:eastAsia="Times New Roman" w:cs="Arial"/>
          <w:lang w:eastAsia="en-CA"/>
        </w:rPr>
        <w:tab/>
      </w:r>
    </w:p>
    <w:p w14:paraId="7390EDD5" w14:textId="039ACF89" w:rsidR="00D360F7" w:rsidRPr="003849B3" w:rsidRDefault="00D360F7" w:rsidP="00D255AC">
      <w:pPr>
        <w:pStyle w:val="ListParagraph"/>
        <w:numPr>
          <w:ilvl w:val="0"/>
          <w:numId w:val="35"/>
        </w:numPr>
        <w:rPr>
          <w:rFonts w:cs="Arial"/>
          <w:szCs w:val="24"/>
          <w:lang w:val="en"/>
        </w:rPr>
      </w:pPr>
      <w:r w:rsidRPr="00E67C8F">
        <w:rPr>
          <w:rFonts w:eastAsia="Times New Roman" w:cs="Arial"/>
          <w:lang w:eastAsia="en-CA"/>
        </w:rPr>
        <w:t xml:space="preserve">United States (37 states that are subject to the WTO GPA, specifically: Arizona, Arkansas, California, Colorado, Connecticut, Delaware, Florida, Hawaii, Idaho, Illinois, Iowa, Kansas, Kentucky, Louisiana, Maine, Maryland, Massachusetts, Michigan, Minnesota, Mississippi, Missouri, Montana, </w:t>
      </w:r>
      <w:r w:rsidR="004A65DD">
        <w:rPr>
          <w:rFonts w:eastAsia="Times New Roman" w:cs="Arial"/>
          <w:lang w:eastAsia="en-CA"/>
        </w:rPr>
        <w:t xml:space="preserve">New Jersey, </w:t>
      </w:r>
      <w:r w:rsidRPr="00E67C8F">
        <w:rPr>
          <w:rFonts w:eastAsia="Times New Roman" w:cs="Arial"/>
          <w:lang w:eastAsia="en-CA"/>
        </w:rPr>
        <w:t>New York, Nebraska, New Hampshire, Oklahoma, Oregon, Pennsylvania, Rhode Island, South Dakota, Tennessee, Texas, Utah, Vermont, Washington, Wisconsin, and Wyoming</w:t>
      </w:r>
    </w:p>
    <w:p w14:paraId="06E3A79B" w14:textId="77777777" w:rsidR="0094759C" w:rsidRPr="0094759C" w:rsidRDefault="0094759C" w:rsidP="005348AF">
      <w:pPr>
        <w:ind w:left="360"/>
        <w:rPr>
          <w:rFonts w:cs="Arial"/>
          <w:szCs w:val="24"/>
          <w:lang w:val="en"/>
        </w:rPr>
      </w:pPr>
    </w:p>
    <w:p w14:paraId="238343B3" w14:textId="77777777" w:rsidR="0094759C" w:rsidRPr="0094759C" w:rsidRDefault="0094759C" w:rsidP="005348AF">
      <w:pPr>
        <w:ind w:left="360"/>
        <w:rPr>
          <w:rFonts w:cs="Arial"/>
          <w:szCs w:val="24"/>
        </w:rPr>
      </w:pPr>
      <w:r w:rsidRPr="0094759C">
        <w:rPr>
          <w:b/>
          <w:bCs/>
        </w:rPr>
        <w:t xml:space="preserve">Source: </w:t>
      </w:r>
      <w:hyperlink r:id="rId19" w:history="1">
        <w:r w:rsidRPr="0094759C">
          <w:rPr>
            <w:rStyle w:val="Hyperlink"/>
            <w:rFonts w:cs="Arial"/>
            <w:szCs w:val="24"/>
          </w:rPr>
          <w:t>https://www.wto.org/english/tratop_e/gproc_e/memobs_e.htm</w:t>
        </w:r>
      </w:hyperlink>
    </w:p>
    <w:p w14:paraId="695ABA84" w14:textId="31502C4D" w:rsidR="0062698D" w:rsidRDefault="0062698D">
      <w:pPr>
        <w:spacing w:before="0" w:line="259" w:lineRule="auto"/>
        <w:rPr>
          <w:rFonts w:cs="Arial"/>
          <w:szCs w:val="24"/>
          <w:lang w:val="en"/>
        </w:rPr>
      </w:pPr>
      <w:r>
        <w:rPr>
          <w:rFonts w:cs="Arial"/>
          <w:szCs w:val="24"/>
          <w:lang w:val="en"/>
        </w:rPr>
        <w:br w:type="page"/>
      </w:r>
    </w:p>
    <w:p w14:paraId="0C280680" w14:textId="71D9AB00" w:rsidR="00F906EE" w:rsidRPr="000202DB" w:rsidRDefault="007B5CBC" w:rsidP="00D255AC">
      <w:pPr>
        <w:pStyle w:val="ListParagraph"/>
        <w:numPr>
          <w:ilvl w:val="0"/>
          <w:numId w:val="37"/>
        </w:numPr>
        <w:spacing w:after="240" w:line="240" w:lineRule="auto"/>
        <w:ind w:left="360"/>
        <w:rPr>
          <w:rFonts w:eastAsia="Times New Roman" w:cs="Arial"/>
          <w:b/>
          <w:bCs/>
          <w:szCs w:val="24"/>
          <w:lang w:eastAsia="en-CA"/>
        </w:rPr>
      </w:pPr>
      <w:r w:rsidRPr="000202DB">
        <w:rPr>
          <w:rFonts w:eastAsia="Times New Roman" w:cs="Arial"/>
          <w:b/>
          <w:bCs/>
          <w:szCs w:val="24"/>
          <w:lang w:eastAsia="en-CA"/>
        </w:rPr>
        <w:lastRenderedPageBreak/>
        <w:t>Canada-</w:t>
      </w:r>
      <w:r w:rsidR="00F906EE" w:rsidRPr="000202DB">
        <w:rPr>
          <w:rFonts w:eastAsia="Times New Roman" w:cs="Arial"/>
          <w:b/>
          <w:bCs/>
          <w:szCs w:val="24"/>
          <w:lang w:eastAsia="en-CA"/>
        </w:rPr>
        <w:t>European Union Comprehensive Economic and Trade Agreement (CETA)</w:t>
      </w:r>
    </w:p>
    <w:p w14:paraId="768E01F6" w14:textId="0310AD64" w:rsidR="00F906EE" w:rsidRDefault="00F906EE" w:rsidP="005A38CB">
      <w:pPr>
        <w:spacing w:after="240" w:line="240" w:lineRule="auto"/>
        <w:rPr>
          <w:szCs w:val="24"/>
        </w:rPr>
      </w:pPr>
      <w:r w:rsidRPr="000202DB">
        <w:rPr>
          <w:rFonts w:eastAsia="Times New Roman" w:cs="Times New Roman"/>
          <w:szCs w:val="24"/>
          <w:lang w:eastAsia="en-CA"/>
        </w:rPr>
        <w:t xml:space="preserve">This </w:t>
      </w:r>
      <w:r w:rsidRPr="000202DB">
        <w:rPr>
          <w:szCs w:val="24"/>
        </w:rPr>
        <w:t>agreement</w:t>
      </w:r>
      <w:r w:rsidR="007B5CBC" w:rsidRPr="000202DB">
        <w:rPr>
          <w:szCs w:val="24"/>
        </w:rPr>
        <w:t xml:space="preserve"> between Canada and the European Union</w:t>
      </w:r>
      <w:r w:rsidRPr="000202DB">
        <w:rPr>
          <w:szCs w:val="24"/>
        </w:rPr>
        <w:t xml:space="preserve"> was signed on </w:t>
      </w:r>
      <w:r w:rsidR="00C4779F" w:rsidRPr="000202DB">
        <w:rPr>
          <w:szCs w:val="24"/>
        </w:rPr>
        <w:t xml:space="preserve">October 30, </w:t>
      </w:r>
      <w:r w:rsidR="00CF2429" w:rsidRPr="000202DB">
        <w:rPr>
          <w:szCs w:val="24"/>
        </w:rPr>
        <w:t>2016,</w:t>
      </w:r>
      <w:r w:rsidR="00C4779F" w:rsidRPr="000202DB">
        <w:rPr>
          <w:szCs w:val="24"/>
        </w:rPr>
        <w:t xml:space="preserve"> and</w:t>
      </w:r>
      <w:r w:rsidRPr="000202DB">
        <w:rPr>
          <w:szCs w:val="24"/>
        </w:rPr>
        <w:t xml:space="preserve"> </w:t>
      </w:r>
      <w:r w:rsidR="007B5CBC" w:rsidRPr="000202DB">
        <w:rPr>
          <w:szCs w:val="24"/>
        </w:rPr>
        <w:t>was provisionally applied on</w:t>
      </w:r>
      <w:r w:rsidRPr="000202DB">
        <w:rPr>
          <w:szCs w:val="24"/>
        </w:rPr>
        <w:t xml:space="preserve"> September 21, 2017. </w:t>
      </w:r>
      <w:r w:rsidR="007B5CBC" w:rsidRPr="000202DB">
        <w:rPr>
          <w:szCs w:val="24"/>
        </w:rPr>
        <w:t xml:space="preserve">Provisional application means that most of the provisions, including government procurement, </w:t>
      </w:r>
      <w:r w:rsidR="002700A0">
        <w:rPr>
          <w:szCs w:val="24"/>
        </w:rPr>
        <w:t>are</w:t>
      </w:r>
      <w:r w:rsidR="002700A0" w:rsidRPr="000202DB">
        <w:rPr>
          <w:szCs w:val="24"/>
        </w:rPr>
        <w:t xml:space="preserve"> </w:t>
      </w:r>
      <w:r w:rsidR="007B5CBC" w:rsidRPr="000202DB">
        <w:rPr>
          <w:szCs w:val="24"/>
        </w:rPr>
        <w:t xml:space="preserve">treated as </w:t>
      </w:r>
      <w:r w:rsidR="002700A0">
        <w:rPr>
          <w:szCs w:val="24"/>
        </w:rPr>
        <w:t xml:space="preserve">being </w:t>
      </w:r>
      <w:r w:rsidR="007B5CBC" w:rsidRPr="000202DB">
        <w:rPr>
          <w:szCs w:val="24"/>
        </w:rPr>
        <w:t>in force.</w:t>
      </w:r>
    </w:p>
    <w:p w14:paraId="01DAD8C9" w14:textId="77777777" w:rsidR="00D03B93" w:rsidRDefault="00D03B93" w:rsidP="005A38CB">
      <w:pPr>
        <w:spacing w:after="240" w:line="240" w:lineRule="auto"/>
        <w:rPr>
          <w:rFonts w:eastAsia="Times New Roman" w:cs="Arial"/>
          <w:b/>
          <w:bCs/>
          <w:szCs w:val="24"/>
          <w:lang w:eastAsia="en-CA"/>
        </w:rPr>
      </w:pPr>
      <w:r w:rsidRPr="000202DB">
        <w:rPr>
          <w:rFonts w:eastAsia="Times New Roman" w:cs="Arial"/>
          <w:b/>
          <w:bCs/>
          <w:szCs w:val="24"/>
          <w:lang w:eastAsia="en-CA"/>
        </w:rPr>
        <w:t>Parties</w:t>
      </w:r>
      <w:r>
        <w:rPr>
          <w:rFonts w:eastAsia="Times New Roman" w:cs="Arial"/>
          <w:b/>
          <w:bCs/>
          <w:szCs w:val="24"/>
          <w:lang w:eastAsia="en-CA"/>
        </w:rPr>
        <w:t xml:space="preserve"> to the Agreement</w:t>
      </w: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4"/>
        <w:gridCol w:w="2365"/>
        <w:gridCol w:w="2364"/>
        <w:gridCol w:w="2365"/>
      </w:tblGrid>
      <w:tr w:rsidR="00D03B93" w:rsidRPr="001F12F8" w14:paraId="53C7BA71" w14:textId="77777777" w:rsidTr="00D80C5F">
        <w:trPr>
          <w:trHeight w:val="253"/>
        </w:trPr>
        <w:tc>
          <w:tcPr>
            <w:tcW w:w="2364" w:type="dxa"/>
          </w:tcPr>
          <w:p w14:paraId="43BB55BC" w14:textId="77777777" w:rsidR="00D03B93" w:rsidRPr="00514FC2" w:rsidRDefault="00D03B93" w:rsidP="00D255AC">
            <w:pPr>
              <w:pStyle w:val="ListParagraph"/>
              <w:numPr>
                <w:ilvl w:val="0"/>
                <w:numId w:val="38"/>
              </w:numPr>
              <w:spacing w:before="0" w:after="0" w:line="240" w:lineRule="auto"/>
              <w:jc w:val="both"/>
              <w:rPr>
                <w:rFonts w:eastAsia="Times New Roman" w:cs="Arial"/>
                <w:szCs w:val="24"/>
                <w:lang w:eastAsia="en-CA"/>
              </w:rPr>
            </w:pPr>
            <w:r w:rsidRPr="00514FC2">
              <w:rPr>
                <w:rFonts w:eastAsia="Times New Roman" w:cs="Arial"/>
                <w:szCs w:val="24"/>
                <w:lang w:eastAsia="en-CA"/>
              </w:rPr>
              <w:t>Austria</w:t>
            </w:r>
          </w:p>
        </w:tc>
        <w:tc>
          <w:tcPr>
            <w:tcW w:w="2365" w:type="dxa"/>
          </w:tcPr>
          <w:p w14:paraId="04D4F3EA" w14:textId="77777777" w:rsidR="00D03B93" w:rsidRPr="00514FC2" w:rsidRDefault="00D03B93" w:rsidP="00D255AC">
            <w:pPr>
              <w:pStyle w:val="ListParagraph"/>
              <w:numPr>
                <w:ilvl w:val="0"/>
                <w:numId w:val="39"/>
              </w:numPr>
              <w:spacing w:before="0" w:after="0" w:line="240" w:lineRule="auto"/>
              <w:jc w:val="both"/>
              <w:rPr>
                <w:rFonts w:eastAsia="Times New Roman" w:cs="Arial"/>
                <w:szCs w:val="24"/>
                <w:lang w:eastAsia="en-CA"/>
              </w:rPr>
            </w:pPr>
            <w:r w:rsidRPr="00514FC2">
              <w:rPr>
                <w:rFonts w:eastAsia="Times New Roman" w:cs="Arial"/>
                <w:szCs w:val="24"/>
                <w:lang w:eastAsia="en-CA"/>
              </w:rPr>
              <w:t>Estonia</w:t>
            </w:r>
          </w:p>
        </w:tc>
        <w:tc>
          <w:tcPr>
            <w:tcW w:w="2364" w:type="dxa"/>
          </w:tcPr>
          <w:p w14:paraId="789DFE5E" w14:textId="77777777" w:rsidR="00D03B93" w:rsidRPr="001F12F8" w:rsidRDefault="00D03B93" w:rsidP="00D255AC">
            <w:pPr>
              <w:pStyle w:val="ListParagraph"/>
              <w:numPr>
                <w:ilvl w:val="0"/>
                <w:numId w:val="40"/>
              </w:numPr>
              <w:spacing w:before="0" w:after="0" w:line="240" w:lineRule="auto"/>
              <w:jc w:val="both"/>
              <w:rPr>
                <w:rFonts w:eastAsia="Times New Roman" w:cs="Arial"/>
                <w:szCs w:val="24"/>
                <w:lang w:eastAsia="en-CA"/>
              </w:rPr>
            </w:pPr>
            <w:r w:rsidRPr="00E67C8F">
              <w:rPr>
                <w:rFonts w:eastAsia="Times New Roman" w:cs="Arial"/>
                <w:szCs w:val="24"/>
                <w:lang w:eastAsia="en-CA"/>
              </w:rPr>
              <w:t>Italy</w:t>
            </w:r>
          </w:p>
        </w:tc>
        <w:tc>
          <w:tcPr>
            <w:tcW w:w="2365" w:type="dxa"/>
          </w:tcPr>
          <w:p w14:paraId="60345C59" w14:textId="77777777" w:rsidR="00D03B93" w:rsidRPr="001F12F8" w:rsidRDefault="00D03B93" w:rsidP="00D255AC">
            <w:pPr>
              <w:pStyle w:val="ListParagraph"/>
              <w:numPr>
                <w:ilvl w:val="0"/>
                <w:numId w:val="41"/>
              </w:numPr>
              <w:spacing w:before="0" w:after="0" w:line="240" w:lineRule="auto"/>
              <w:jc w:val="both"/>
              <w:rPr>
                <w:rFonts w:eastAsia="Times New Roman" w:cs="Arial"/>
                <w:szCs w:val="24"/>
                <w:lang w:eastAsia="en-CA"/>
              </w:rPr>
            </w:pPr>
            <w:r w:rsidRPr="00E67C8F">
              <w:rPr>
                <w:rFonts w:eastAsia="Times New Roman" w:cs="Arial"/>
                <w:szCs w:val="24"/>
                <w:lang w:eastAsia="en-CA"/>
              </w:rPr>
              <w:t>Portugal</w:t>
            </w:r>
          </w:p>
        </w:tc>
      </w:tr>
      <w:tr w:rsidR="00D03B93" w:rsidRPr="001F12F8" w14:paraId="17216FF2" w14:textId="77777777" w:rsidTr="00D80C5F">
        <w:trPr>
          <w:trHeight w:val="393"/>
        </w:trPr>
        <w:tc>
          <w:tcPr>
            <w:tcW w:w="2364" w:type="dxa"/>
          </w:tcPr>
          <w:p w14:paraId="30486169" w14:textId="77777777" w:rsidR="00D03B93" w:rsidRPr="00514FC2" w:rsidRDefault="00D03B93" w:rsidP="00D255AC">
            <w:pPr>
              <w:pStyle w:val="ListParagraph"/>
              <w:numPr>
                <w:ilvl w:val="0"/>
                <w:numId w:val="38"/>
              </w:numPr>
              <w:spacing w:before="0" w:after="0" w:line="240" w:lineRule="auto"/>
              <w:jc w:val="both"/>
              <w:rPr>
                <w:rFonts w:eastAsia="Times New Roman" w:cs="Arial"/>
                <w:szCs w:val="24"/>
                <w:lang w:eastAsia="en-CA"/>
              </w:rPr>
            </w:pPr>
            <w:r w:rsidRPr="00514FC2">
              <w:rPr>
                <w:rFonts w:eastAsia="Times New Roman" w:cs="Arial"/>
                <w:szCs w:val="24"/>
                <w:lang w:eastAsia="en-CA"/>
              </w:rPr>
              <w:t>Belgium</w:t>
            </w:r>
          </w:p>
        </w:tc>
        <w:tc>
          <w:tcPr>
            <w:tcW w:w="2365" w:type="dxa"/>
          </w:tcPr>
          <w:p w14:paraId="63CDC33F" w14:textId="77777777" w:rsidR="00D03B93" w:rsidRPr="00514FC2" w:rsidRDefault="00D03B93" w:rsidP="00D255AC">
            <w:pPr>
              <w:pStyle w:val="ListParagraph"/>
              <w:numPr>
                <w:ilvl w:val="0"/>
                <w:numId w:val="39"/>
              </w:numPr>
              <w:spacing w:before="0" w:after="0" w:line="240" w:lineRule="auto"/>
              <w:jc w:val="both"/>
              <w:rPr>
                <w:rFonts w:eastAsia="Times New Roman" w:cs="Arial"/>
                <w:szCs w:val="24"/>
                <w:lang w:eastAsia="en-CA"/>
              </w:rPr>
            </w:pPr>
            <w:r w:rsidRPr="00514FC2">
              <w:rPr>
                <w:rFonts w:eastAsia="Times New Roman" w:cs="Arial"/>
                <w:szCs w:val="24"/>
                <w:lang w:eastAsia="en-CA"/>
              </w:rPr>
              <w:t>Finland</w:t>
            </w:r>
          </w:p>
        </w:tc>
        <w:tc>
          <w:tcPr>
            <w:tcW w:w="2364" w:type="dxa"/>
          </w:tcPr>
          <w:p w14:paraId="67C83A60" w14:textId="77777777" w:rsidR="00D03B93" w:rsidRPr="001F12F8" w:rsidRDefault="00D03B93" w:rsidP="00D255AC">
            <w:pPr>
              <w:pStyle w:val="ListParagraph"/>
              <w:numPr>
                <w:ilvl w:val="0"/>
                <w:numId w:val="40"/>
              </w:numPr>
              <w:spacing w:before="0" w:after="0" w:line="240" w:lineRule="auto"/>
              <w:ind w:left="357" w:hanging="357"/>
              <w:jc w:val="both"/>
              <w:rPr>
                <w:rFonts w:eastAsia="Times New Roman" w:cs="Arial"/>
                <w:szCs w:val="24"/>
                <w:lang w:eastAsia="en-CA"/>
              </w:rPr>
            </w:pPr>
            <w:r w:rsidRPr="00E67C8F">
              <w:rPr>
                <w:rFonts w:eastAsia="Times New Roman" w:cs="Arial"/>
                <w:szCs w:val="24"/>
                <w:lang w:eastAsia="en-CA"/>
              </w:rPr>
              <w:t xml:space="preserve">Latvia </w:t>
            </w:r>
          </w:p>
        </w:tc>
        <w:tc>
          <w:tcPr>
            <w:tcW w:w="2365" w:type="dxa"/>
          </w:tcPr>
          <w:p w14:paraId="077463B3" w14:textId="77777777" w:rsidR="00D03B93" w:rsidRPr="001F12F8" w:rsidRDefault="00D03B93" w:rsidP="00D255AC">
            <w:pPr>
              <w:pStyle w:val="ListParagraph"/>
              <w:numPr>
                <w:ilvl w:val="0"/>
                <w:numId w:val="41"/>
              </w:numPr>
              <w:spacing w:before="0" w:after="0" w:line="240" w:lineRule="auto"/>
              <w:jc w:val="both"/>
              <w:rPr>
                <w:rFonts w:eastAsia="Times New Roman" w:cs="Arial"/>
                <w:szCs w:val="24"/>
                <w:lang w:eastAsia="en-CA"/>
              </w:rPr>
            </w:pPr>
            <w:r w:rsidRPr="00E67C8F">
              <w:rPr>
                <w:rFonts w:eastAsia="Times New Roman" w:cs="Arial"/>
                <w:szCs w:val="24"/>
                <w:lang w:eastAsia="en-CA"/>
              </w:rPr>
              <w:t>Romania</w:t>
            </w:r>
          </w:p>
        </w:tc>
      </w:tr>
      <w:tr w:rsidR="00D03B93" w:rsidRPr="001F12F8" w14:paraId="3DE8935D" w14:textId="77777777" w:rsidTr="00D80C5F">
        <w:trPr>
          <w:trHeight w:val="349"/>
        </w:trPr>
        <w:tc>
          <w:tcPr>
            <w:tcW w:w="2364" w:type="dxa"/>
          </w:tcPr>
          <w:p w14:paraId="78D046F1" w14:textId="77777777" w:rsidR="00D03B93" w:rsidRPr="00514FC2" w:rsidRDefault="00D03B93" w:rsidP="00D255AC">
            <w:pPr>
              <w:pStyle w:val="ListParagraph"/>
              <w:numPr>
                <w:ilvl w:val="0"/>
                <w:numId w:val="38"/>
              </w:numPr>
              <w:spacing w:before="0" w:after="0" w:line="240" w:lineRule="auto"/>
              <w:jc w:val="both"/>
              <w:rPr>
                <w:rFonts w:eastAsia="Times New Roman" w:cs="Arial"/>
                <w:szCs w:val="24"/>
                <w:lang w:eastAsia="en-CA"/>
              </w:rPr>
            </w:pPr>
            <w:r w:rsidRPr="00514FC2">
              <w:rPr>
                <w:rFonts w:eastAsia="Times New Roman" w:cs="Arial"/>
                <w:szCs w:val="24"/>
                <w:lang w:eastAsia="en-CA"/>
              </w:rPr>
              <w:t>Bulgaria</w:t>
            </w:r>
          </w:p>
        </w:tc>
        <w:tc>
          <w:tcPr>
            <w:tcW w:w="2365" w:type="dxa"/>
          </w:tcPr>
          <w:p w14:paraId="693E75F2" w14:textId="77777777" w:rsidR="00D03B93" w:rsidRPr="00514FC2" w:rsidRDefault="00D03B93" w:rsidP="00D255AC">
            <w:pPr>
              <w:pStyle w:val="ListParagraph"/>
              <w:numPr>
                <w:ilvl w:val="0"/>
                <w:numId w:val="39"/>
              </w:numPr>
              <w:spacing w:before="0" w:after="0" w:line="240" w:lineRule="auto"/>
              <w:jc w:val="both"/>
              <w:rPr>
                <w:rFonts w:eastAsia="Times New Roman" w:cs="Arial"/>
                <w:szCs w:val="24"/>
                <w:lang w:eastAsia="en-CA"/>
              </w:rPr>
            </w:pPr>
            <w:r w:rsidRPr="00514FC2">
              <w:rPr>
                <w:rFonts w:eastAsia="Times New Roman" w:cs="Arial"/>
                <w:szCs w:val="24"/>
                <w:lang w:eastAsia="en-CA"/>
              </w:rPr>
              <w:t>France</w:t>
            </w:r>
          </w:p>
        </w:tc>
        <w:tc>
          <w:tcPr>
            <w:tcW w:w="2364" w:type="dxa"/>
          </w:tcPr>
          <w:p w14:paraId="1C3FC26C" w14:textId="77777777" w:rsidR="00D03B93" w:rsidRPr="001F12F8" w:rsidRDefault="00D03B93" w:rsidP="00D255AC">
            <w:pPr>
              <w:pStyle w:val="ListParagraph"/>
              <w:numPr>
                <w:ilvl w:val="0"/>
                <w:numId w:val="40"/>
              </w:numPr>
              <w:spacing w:before="0" w:after="0" w:line="240" w:lineRule="auto"/>
              <w:ind w:left="357" w:hanging="357"/>
              <w:jc w:val="both"/>
              <w:rPr>
                <w:rFonts w:eastAsia="Times New Roman" w:cs="Arial"/>
                <w:szCs w:val="24"/>
                <w:lang w:eastAsia="en-CA"/>
              </w:rPr>
            </w:pPr>
            <w:r w:rsidRPr="00E67C8F">
              <w:rPr>
                <w:rFonts w:eastAsia="Times New Roman" w:cs="Arial"/>
                <w:szCs w:val="24"/>
                <w:lang w:eastAsia="en-CA"/>
              </w:rPr>
              <w:t>Lithuania</w:t>
            </w:r>
          </w:p>
        </w:tc>
        <w:tc>
          <w:tcPr>
            <w:tcW w:w="2365" w:type="dxa"/>
          </w:tcPr>
          <w:p w14:paraId="5512663A" w14:textId="77777777" w:rsidR="00D03B93" w:rsidRPr="001F12F8" w:rsidRDefault="00D03B93" w:rsidP="00D255AC">
            <w:pPr>
              <w:pStyle w:val="ListParagraph"/>
              <w:numPr>
                <w:ilvl w:val="0"/>
                <w:numId w:val="41"/>
              </w:numPr>
              <w:spacing w:before="0" w:after="0" w:line="240" w:lineRule="auto"/>
              <w:jc w:val="both"/>
              <w:rPr>
                <w:rFonts w:eastAsia="Times New Roman" w:cs="Arial"/>
                <w:szCs w:val="24"/>
                <w:lang w:eastAsia="en-CA"/>
              </w:rPr>
            </w:pPr>
            <w:r w:rsidRPr="00E67C8F">
              <w:rPr>
                <w:rFonts w:eastAsia="Times New Roman" w:cs="Arial"/>
                <w:szCs w:val="24"/>
                <w:lang w:eastAsia="en-CA"/>
              </w:rPr>
              <w:t>Slovakia</w:t>
            </w:r>
          </w:p>
        </w:tc>
      </w:tr>
      <w:tr w:rsidR="00D03B93" w:rsidRPr="001F12F8" w14:paraId="27D10961" w14:textId="77777777" w:rsidTr="00D80C5F">
        <w:trPr>
          <w:trHeight w:val="269"/>
        </w:trPr>
        <w:tc>
          <w:tcPr>
            <w:tcW w:w="2364" w:type="dxa"/>
          </w:tcPr>
          <w:p w14:paraId="1E6A3DE4" w14:textId="77777777" w:rsidR="00D03B93" w:rsidRPr="00514FC2" w:rsidRDefault="00D03B93" w:rsidP="00D255AC">
            <w:pPr>
              <w:pStyle w:val="ListParagraph"/>
              <w:numPr>
                <w:ilvl w:val="0"/>
                <w:numId w:val="38"/>
              </w:numPr>
              <w:spacing w:before="0" w:after="0" w:line="240" w:lineRule="auto"/>
              <w:jc w:val="both"/>
              <w:rPr>
                <w:rFonts w:eastAsia="Times New Roman" w:cs="Arial"/>
                <w:szCs w:val="24"/>
                <w:lang w:eastAsia="en-CA"/>
              </w:rPr>
            </w:pPr>
            <w:r w:rsidRPr="00514FC2">
              <w:rPr>
                <w:rFonts w:eastAsia="Times New Roman" w:cs="Arial"/>
                <w:szCs w:val="24"/>
                <w:lang w:eastAsia="en-CA"/>
              </w:rPr>
              <w:t>Croatia</w:t>
            </w:r>
          </w:p>
        </w:tc>
        <w:tc>
          <w:tcPr>
            <w:tcW w:w="2365" w:type="dxa"/>
          </w:tcPr>
          <w:p w14:paraId="6CD504E7" w14:textId="77777777" w:rsidR="00D03B93" w:rsidRPr="00514FC2" w:rsidRDefault="00D03B93" w:rsidP="00D255AC">
            <w:pPr>
              <w:pStyle w:val="ListParagraph"/>
              <w:numPr>
                <w:ilvl w:val="0"/>
                <w:numId w:val="39"/>
              </w:numPr>
              <w:spacing w:before="0" w:after="0" w:line="240" w:lineRule="auto"/>
              <w:jc w:val="both"/>
              <w:rPr>
                <w:rFonts w:eastAsia="Times New Roman" w:cs="Arial"/>
                <w:szCs w:val="24"/>
                <w:lang w:eastAsia="en-CA"/>
              </w:rPr>
            </w:pPr>
            <w:r w:rsidRPr="00514FC2">
              <w:rPr>
                <w:rFonts w:eastAsia="Times New Roman" w:cs="Arial"/>
                <w:szCs w:val="24"/>
                <w:lang w:eastAsia="en-CA"/>
              </w:rPr>
              <w:t>Germany</w:t>
            </w:r>
          </w:p>
        </w:tc>
        <w:tc>
          <w:tcPr>
            <w:tcW w:w="2364" w:type="dxa"/>
          </w:tcPr>
          <w:p w14:paraId="432A1125" w14:textId="77777777" w:rsidR="00D03B93" w:rsidRPr="001F12F8" w:rsidRDefault="00D03B93" w:rsidP="00D255AC">
            <w:pPr>
              <w:pStyle w:val="ListParagraph"/>
              <w:numPr>
                <w:ilvl w:val="0"/>
                <w:numId w:val="40"/>
              </w:numPr>
              <w:spacing w:before="0" w:after="0" w:line="240" w:lineRule="auto"/>
              <w:ind w:left="357" w:hanging="357"/>
              <w:jc w:val="both"/>
              <w:rPr>
                <w:rFonts w:eastAsia="Times New Roman" w:cs="Arial"/>
                <w:szCs w:val="24"/>
                <w:lang w:eastAsia="en-CA"/>
              </w:rPr>
            </w:pPr>
            <w:r w:rsidRPr="00E67C8F">
              <w:rPr>
                <w:rFonts w:eastAsia="Times New Roman" w:cs="Arial"/>
                <w:szCs w:val="24"/>
                <w:lang w:eastAsia="en-CA"/>
              </w:rPr>
              <w:t>Luxembourg</w:t>
            </w:r>
          </w:p>
        </w:tc>
        <w:tc>
          <w:tcPr>
            <w:tcW w:w="2365" w:type="dxa"/>
          </w:tcPr>
          <w:p w14:paraId="3FE0A2C4" w14:textId="77777777" w:rsidR="00D03B93" w:rsidRPr="001F12F8" w:rsidRDefault="00D03B93" w:rsidP="00D255AC">
            <w:pPr>
              <w:pStyle w:val="ListParagraph"/>
              <w:numPr>
                <w:ilvl w:val="0"/>
                <w:numId w:val="41"/>
              </w:numPr>
              <w:spacing w:before="0" w:after="0" w:line="240" w:lineRule="auto"/>
              <w:jc w:val="both"/>
              <w:rPr>
                <w:rFonts w:eastAsia="Times New Roman" w:cs="Arial"/>
                <w:szCs w:val="24"/>
                <w:lang w:eastAsia="en-CA"/>
              </w:rPr>
            </w:pPr>
            <w:r w:rsidRPr="00E67C8F">
              <w:rPr>
                <w:rFonts w:eastAsia="Times New Roman" w:cs="Arial"/>
                <w:szCs w:val="24"/>
                <w:lang w:eastAsia="en-CA"/>
              </w:rPr>
              <w:t>Slovenia</w:t>
            </w:r>
          </w:p>
        </w:tc>
      </w:tr>
      <w:tr w:rsidR="00D03B93" w:rsidRPr="001F12F8" w14:paraId="04D8F343" w14:textId="77777777" w:rsidTr="00D80C5F">
        <w:trPr>
          <w:trHeight w:val="80"/>
        </w:trPr>
        <w:tc>
          <w:tcPr>
            <w:tcW w:w="2364" w:type="dxa"/>
          </w:tcPr>
          <w:p w14:paraId="19618F5B" w14:textId="77777777" w:rsidR="00D03B93" w:rsidRPr="00514FC2" w:rsidRDefault="00D03B93" w:rsidP="00D255AC">
            <w:pPr>
              <w:pStyle w:val="ListParagraph"/>
              <w:numPr>
                <w:ilvl w:val="0"/>
                <w:numId w:val="38"/>
              </w:numPr>
              <w:spacing w:before="0" w:after="0" w:line="240" w:lineRule="auto"/>
              <w:jc w:val="both"/>
              <w:rPr>
                <w:rFonts w:eastAsia="Times New Roman" w:cs="Arial"/>
                <w:szCs w:val="24"/>
                <w:lang w:eastAsia="en-CA"/>
              </w:rPr>
            </w:pPr>
            <w:r w:rsidRPr="00514FC2">
              <w:rPr>
                <w:rFonts w:eastAsia="Times New Roman" w:cs="Arial"/>
                <w:szCs w:val="24"/>
                <w:lang w:eastAsia="en-CA"/>
              </w:rPr>
              <w:t>Cyprus</w:t>
            </w:r>
          </w:p>
        </w:tc>
        <w:tc>
          <w:tcPr>
            <w:tcW w:w="2365" w:type="dxa"/>
          </w:tcPr>
          <w:p w14:paraId="4EC5439D" w14:textId="77777777" w:rsidR="00D03B93" w:rsidRPr="00514FC2" w:rsidRDefault="00D03B93" w:rsidP="00D255AC">
            <w:pPr>
              <w:pStyle w:val="ListParagraph"/>
              <w:numPr>
                <w:ilvl w:val="0"/>
                <w:numId w:val="39"/>
              </w:numPr>
              <w:spacing w:before="0" w:after="0" w:line="240" w:lineRule="auto"/>
              <w:jc w:val="both"/>
              <w:rPr>
                <w:rFonts w:eastAsia="Times New Roman" w:cs="Arial"/>
                <w:szCs w:val="24"/>
                <w:lang w:eastAsia="en-CA"/>
              </w:rPr>
            </w:pPr>
            <w:r w:rsidRPr="00514FC2">
              <w:rPr>
                <w:rFonts w:eastAsia="Times New Roman" w:cs="Arial"/>
                <w:szCs w:val="24"/>
                <w:lang w:eastAsia="en-CA"/>
              </w:rPr>
              <w:t>Greece</w:t>
            </w:r>
          </w:p>
        </w:tc>
        <w:tc>
          <w:tcPr>
            <w:tcW w:w="2364" w:type="dxa"/>
          </w:tcPr>
          <w:p w14:paraId="00BFC8AA" w14:textId="77777777" w:rsidR="00D03B93" w:rsidRPr="001F12F8" w:rsidRDefault="00D03B93" w:rsidP="00D255AC">
            <w:pPr>
              <w:pStyle w:val="ListParagraph"/>
              <w:numPr>
                <w:ilvl w:val="0"/>
                <w:numId w:val="40"/>
              </w:numPr>
              <w:spacing w:before="0" w:after="0" w:line="240" w:lineRule="auto"/>
              <w:ind w:left="357" w:hanging="357"/>
              <w:jc w:val="both"/>
              <w:rPr>
                <w:rFonts w:eastAsia="Times New Roman" w:cs="Arial"/>
                <w:szCs w:val="24"/>
                <w:lang w:eastAsia="en-CA"/>
              </w:rPr>
            </w:pPr>
            <w:r w:rsidRPr="00E67C8F">
              <w:rPr>
                <w:rFonts w:eastAsia="Times New Roman" w:cs="Arial"/>
                <w:szCs w:val="24"/>
                <w:lang w:eastAsia="en-CA"/>
              </w:rPr>
              <w:t>Malta</w:t>
            </w:r>
          </w:p>
        </w:tc>
        <w:tc>
          <w:tcPr>
            <w:tcW w:w="2365" w:type="dxa"/>
          </w:tcPr>
          <w:p w14:paraId="5881C114" w14:textId="77777777" w:rsidR="00D03B93" w:rsidRPr="001F12F8" w:rsidRDefault="00D03B93" w:rsidP="00D255AC">
            <w:pPr>
              <w:pStyle w:val="ListParagraph"/>
              <w:numPr>
                <w:ilvl w:val="0"/>
                <w:numId w:val="41"/>
              </w:numPr>
              <w:spacing w:before="0" w:after="0" w:line="240" w:lineRule="auto"/>
              <w:jc w:val="both"/>
              <w:rPr>
                <w:rFonts w:eastAsia="Times New Roman" w:cs="Arial"/>
                <w:szCs w:val="24"/>
                <w:lang w:eastAsia="en-CA"/>
              </w:rPr>
            </w:pPr>
            <w:r w:rsidRPr="00E67C8F">
              <w:rPr>
                <w:rFonts w:eastAsia="Times New Roman" w:cs="Arial"/>
                <w:szCs w:val="24"/>
                <w:lang w:eastAsia="en-CA"/>
              </w:rPr>
              <w:t>Spain</w:t>
            </w:r>
          </w:p>
        </w:tc>
      </w:tr>
      <w:tr w:rsidR="00D03B93" w:rsidRPr="001F12F8" w14:paraId="0740692A" w14:textId="77777777" w:rsidTr="00D80C5F">
        <w:trPr>
          <w:trHeight w:val="80"/>
        </w:trPr>
        <w:tc>
          <w:tcPr>
            <w:tcW w:w="2364" w:type="dxa"/>
          </w:tcPr>
          <w:p w14:paraId="11F90BDD" w14:textId="77777777" w:rsidR="00D03B93" w:rsidRPr="00514FC2" w:rsidRDefault="00D03B93" w:rsidP="00D255AC">
            <w:pPr>
              <w:pStyle w:val="ListParagraph"/>
              <w:numPr>
                <w:ilvl w:val="0"/>
                <w:numId w:val="38"/>
              </w:numPr>
              <w:spacing w:before="0" w:after="0" w:line="240" w:lineRule="auto"/>
              <w:jc w:val="both"/>
              <w:rPr>
                <w:rFonts w:eastAsia="Times New Roman" w:cs="Arial"/>
                <w:szCs w:val="24"/>
                <w:lang w:eastAsia="en-CA"/>
              </w:rPr>
            </w:pPr>
            <w:r w:rsidRPr="00514FC2">
              <w:rPr>
                <w:rFonts w:eastAsia="Times New Roman" w:cs="Arial"/>
                <w:szCs w:val="24"/>
                <w:lang w:eastAsia="en-CA"/>
              </w:rPr>
              <w:t>Czech Republic</w:t>
            </w:r>
          </w:p>
        </w:tc>
        <w:tc>
          <w:tcPr>
            <w:tcW w:w="2365" w:type="dxa"/>
          </w:tcPr>
          <w:p w14:paraId="1A48CB72" w14:textId="77777777" w:rsidR="00D03B93" w:rsidRPr="00514FC2" w:rsidRDefault="00D03B93" w:rsidP="00D255AC">
            <w:pPr>
              <w:pStyle w:val="ListParagraph"/>
              <w:numPr>
                <w:ilvl w:val="0"/>
                <w:numId w:val="39"/>
              </w:numPr>
              <w:spacing w:before="0" w:after="0" w:line="240" w:lineRule="auto"/>
              <w:jc w:val="both"/>
              <w:rPr>
                <w:rFonts w:eastAsia="Times New Roman" w:cs="Arial"/>
                <w:szCs w:val="24"/>
                <w:lang w:eastAsia="en-CA"/>
              </w:rPr>
            </w:pPr>
            <w:r w:rsidRPr="00514FC2">
              <w:rPr>
                <w:rFonts w:eastAsia="Times New Roman" w:cs="Arial"/>
                <w:szCs w:val="24"/>
                <w:lang w:eastAsia="en-CA"/>
              </w:rPr>
              <w:t>Hungary</w:t>
            </w:r>
          </w:p>
        </w:tc>
        <w:tc>
          <w:tcPr>
            <w:tcW w:w="2364" w:type="dxa"/>
          </w:tcPr>
          <w:p w14:paraId="75B183B1" w14:textId="77777777" w:rsidR="00D03B93" w:rsidRPr="001F12F8" w:rsidRDefault="00D03B93" w:rsidP="00D255AC">
            <w:pPr>
              <w:pStyle w:val="ListParagraph"/>
              <w:numPr>
                <w:ilvl w:val="0"/>
                <w:numId w:val="40"/>
              </w:numPr>
              <w:spacing w:before="0" w:after="0" w:line="240" w:lineRule="auto"/>
              <w:ind w:left="357" w:hanging="357"/>
              <w:jc w:val="both"/>
              <w:rPr>
                <w:rFonts w:eastAsia="Times New Roman" w:cs="Arial"/>
                <w:szCs w:val="24"/>
                <w:lang w:eastAsia="en-CA"/>
              </w:rPr>
            </w:pPr>
            <w:r w:rsidRPr="00E67C8F">
              <w:rPr>
                <w:rFonts w:eastAsia="Times New Roman" w:cs="Arial"/>
                <w:szCs w:val="24"/>
                <w:lang w:eastAsia="en-CA"/>
              </w:rPr>
              <w:t>Netherlands</w:t>
            </w:r>
          </w:p>
        </w:tc>
        <w:tc>
          <w:tcPr>
            <w:tcW w:w="2365" w:type="dxa"/>
          </w:tcPr>
          <w:p w14:paraId="36160EBE" w14:textId="77777777" w:rsidR="00D03B93" w:rsidRPr="001F12F8" w:rsidRDefault="00D03B93" w:rsidP="00D255AC">
            <w:pPr>
              <w:pStyle w:val="ListParagraph"/>
              <w:numPr>
                <w:ilvl w:val="0"/>
                <w:numId w:val="41"/>
              </w:numPr>
              <w:spacing w:before="0" w:after="0" w:line="240" w:lineRule="auto"/>
              <w:jc w:val="both"/>
              <w:rPr>
                <w:rFonts w:eastAsia="Times New Roman" w:cs="Arial"/>
                <w:szCs w:val="24"/>
                <w:lang w:eastAsia="en-CA"/>
              </w:rPr>
            </w:pPr>
            <w:r w:rsidRPr="00E67C8F">
              <w:rPr>
                <w:rFonts w:eastAsia="Times New Roman" w:cs="Arial"/>
                <w:szCs w:val="24"/>
                <w:lang w:eastAsia="en-CA"/>
              </w:rPr>
              <w:t>Sweden</w:t>
            </w:r>
          </w:p>
        </w:tc>
      </w:tr>
      <w:tr w:rsidR="00D03B93" w:rsidRPr="001F12F8" w14:paraId="65CE613A" w14:textId="77777777" w:rsidTr="00D80C5F">
        <w:trPr>
          <w:trHeight w:val="345"/>
        </w:trPr>
        <w:tc>
          <w:tcPr>
            <w:tcW w:w="2364" w:type="dxa"/>
          </w:tcPr>
          <w:p w14:paraId="4D0F3770" w14:textId="77777777" w:rsidR="00D03B93" w:rsidRPr="00514FC2" w:rsidRDefault="00D03B93" w:rsidP="00D255AC">
            <w:pPr>
              <w:pStyle w:val="ListParagraph"/>
              <w:numPr>
                <w:ilvl w:val="0"/>
                <w:numId w:val="38"/>
              </w:numPr>
              <w:spacing w:before="0" w:after="0" w:line="240" w:lineRule="auto"/>
              <w:jc w:val="both"/>
              <w:rPr>
                <w:rFonts w:eastAsia="Times New Roman" w:cs="Arial"/>
                <w:szCs w:val="24"/>
                <w:lang w:eastAsia="en-CA"/>
              </w:rPr>
            </w:pPr>
            <w:r w:rsidRPr="00514FC2">
              <w:rPr>
                <w:rFonts w:eastAsia="Times New Roman" w:cs="Arial"/>
                <w:szCs w:val="24"/>
                <w:lang w:eastAsia="en-CA"/>
              </w:rPr>
              <w:t>Denmark</w:t>
            </w:r>
          </w:p>
        </w:tc>
        <w:tc>
          <w:tcPr>
            <w:tcW w:w="2365" w:type="dxa"/>
          </w:tcPr>
          <w:p w14:paraId="5BCEB2F4" w14:textId="77777777" w:rsidR="00D03B93" w:rsidRPr="00514FC2" w:rsidRDefault="00D03B93" w:rsidP="00D255AC">
            <w:pPr>
              <w:pStyle w:val="ListParagraph"/>
              <w:numPr>
                <w:ilvl w:val="0"/>
                <w:numId w:val="39"/>
              </w:numPr>
              <w:spacing w:before="0" w:after="0" w:line="240" w:lineRule="auto"/>
              <w:jc w:val="both"/>
              <w:rPr>
                <w:rFonts w:eastAsia="Times New Roman" w:cs="Arial"/>
                <w:szCs w:val="24"/>
                <w:lang w:eastAsia="en-CA"/>
              </w:rPr>
            </w:pPr>
            <w:r w:rsidRPr="00514FC2">
              <w:rPr>
                <w:rFonts w:eastAsia="Times New Roman" w:cs="Arial"/>
                <w:szCs w:val="24"/>
                <w:lang w:eastAsia="en-CA"/>
              </w:rPr>
              <w:t>Ireland</w:t>
            </w:r>
          </w:p>
        </w:tc>
        <w:tc>
          <w:tcPr>
            <w:tcW w:w="2364" w:type="dxa"/>
          </w:tcPr>
          <w:p w14:paraId="23B430BB" w14:textId="77777777" w:rsidR="00D03B93" w:rsidRPr="001F12F8" w:rsidRDefault="00D03B93" w:rsidP="00D255AC">
            <w:pPr>
              <w:pStyle w:val="ListParagraph"/>
              <w:numPr>
                <w:ilvl w:val="0"/>
                <w:numId w:val="40"/>
              </w:numPr>
              <w:spacing w:before="0" w:after="0" w:line="240" w:lineRule="auto"/>
              <w:ind w:left="357" w:hanging="357"/>
              <w:jc w:val="both"/>
              <w:rPr>
                <w:rFonts w:eastAsia="Times New Roman" w:cs="Arial"/>
                <w:szCs w:val="24"/>
                <w:lang w:eastAsia="en-CA"/>
              </w:rPr>
            </w:pPr>
            <w:r w:rsidRPr="00E67C8F">
              <w:rPr>
                <w:rFonts w:eastAsia="Times New Roman" w:cs="Arial"/>
                <w:szCs w:val="24"/>
                <w:lang w:eastAsia="en-CA"/>
              </w:rPr>
              <w:t>Poland</w:t>
            </w:r>
          </w:p>
        </w:tc>
        <w:tc>
          <w:tcPr>
            <w:tcW w:w="2365" w:type="dxa"/>
          </w:tcPr>
          <w:p w14:paraId="52BE3399" w14:textId="77777777" w:rsidR="00D03B93" w:rsidRPr="0092080F" w:rsidRDefault="00D03B93" w:rsidP="00D80C5F">
            <w:pPr>
              <w:pStyle w:val="ListParagraph"/>
              <w:spacing w:before="0" w:after="0" w:line="240" w:lineRule="auto"/>
              <w:ind w:left="360"/>
              <w:jc w:val="both"/>
              <w:rPr>
                <w:rFonts w:eastAsia="Times New Roman" w:cs="Arial"/>
                <w:szCs w:val="24"/>
                <w:lang w:eastAsia="en-CA"/>
              </w:rPr>
            </w:pPr>
          </w:p>
        </w:tc>
      </w:tr>
    </w:tbl>
    <w:p w14:paraId="3974D672" w14:textId="77777777" w:rsidR="00D03B93" w:rsidRDefault="00D03B93" w:rsidP="00D03B93">
      <w:pPr>
        <w:rPr>
          <w:rStyle w:val="Hyperlink"/>
          <w:rFonts w:cs="Arial"/>
          <w:szCs w:val="24"/>
        </w:rPr>
      </w:pPr>
      <w:r w:rsidRPr="00F8026B">
        <w:rPr>
          <w:b/>
          <w:bCs/>
        </w:rPr>
        <w:t xml:space="preserve">Source: </w:t>
      </w:r>
      <w:hyperlink r:id="rId20" w:history="1">
        <w:r w:rsidRPr="003F110F">
          <w:rPr>
            <w:rStyle w:val="Hyperlink"/>
            <w:rFonts w:cs="Arial"/>
            <w:szCs w:val="24"/>
          </w:rPr>
          <w:t>https://www.international.gc.ca/trade-commerce/trade-agreements-accords-commerciaux/agr-acc/ceta-aecg/index.aspx?lang=eng</w:t>
        </w:r>
      </w:hyperlink>
    </w:p>
    <w:p w14:paraId="1C365A6A" w14:textId="323AE053" w:rsidR="00ED6A27" w:rsidRPr="00927FD8" w:rsidRDefault="00ED6A27" w:rsidP="00D255AC">
      <w:pPr>
        <w:pStyle w:val="ListParagraph"/>
        <w:numPr>
          <w:ilvl w:val="0"/>
          <w:numId w:val="37"/>
        </w:numPr>
        <w:ind w:left="360"/>
        <w:rPr>
          <w:rFonts w:eastAsia="Times New Roman" w:cs="Arial"/>
          <w:b/>
          <w:bCs/>
          <w:szCs w:val="24"/>
          <w:lang w:eastAsia="en-CA"/>
        </w:rPr>
      </w:pPr>
      <w:r w:rsidRPr="00927FD8">
        <w:rPr>
          <w:rFonts w:eastAsia="Times New Roman" w:cs="Arial"/>
          <w:b/>
          <w:bCs/>
          <w:szCs w:val="24"/>
          <w:lang w:eastAsia="en-CA"/>
        </w:rPr>
        <w:t>Canadian Free Trade Agreement (CFTA)</w:t>
      </w:r>
    </w:p>
    <w:p w14:paraId="17BCA307" w14:textId="4745194C" w:rsidR="00ED6A27" w:rsidRPr="00927FD8" w:rsidRDefault="00ED6A27" w:rsidP="00264B5C">
      <w:r w:rsidRPr="00927FD8">
        <w:t xml:space="preserve">The Canadian Free Trade Agreement (CFTA) </w:t>
      </w:r>
      <w:r w:rsidR="00372D16" w:rsidRPr="00927FD8">
        <w:t xml:space="preserve">replaced the </w:t>
      </w:r>
      <w:hyperlink r:id="rId21" w:history="1">
        <w:r w:rsidR="00372D16" w:rsidRPr="00927FD8">
          <w:t>Agreement on Internal Trade (AIT)</w:t>
        </w:r>
      </w:hyperlink>
      <w:r w:rsidR="00372D16" w:rsidRPr="00927FD8">
        <w:t>. It is an</w:t>
      </w:r>
      <w:r w:rsidR="00372D16" w:rsidRPr="00927FD8">
        <w:rPr>
          <w:color w:val="292929"/>
          <w:shd w:val="clear" w:color="auto" w:fill="FFFFFF"/>
        </w:rPr>
        <w:t xml:space="preserve"> inter-governmental trade agreement signed by Canadian Ministers that entered into force on July 1, 2017. </w:t>
      </w:r>
    </w:p>
    <w:p w14:paraId="4FEEA81E" w14:textId="0BBC1558" w:rsidR="00372D16" w:rsidRPr="00927FD8" w:rsidRDefault="00372D16" w:rsidP="00264B5C">
      <w:pPr>
        <w:rPr>
          <w:color w:val="292929"/>
          <w:sz w:val="26"/>
          <w:szCs w:val="26"/>
          <w:shd w:val="clear" w:color="auto" w:fill="FFFFFF"/>
        </w:rPr>
      </w:pPr>
      <w:r w:rsidRPr="00927FD8">
        <w:rPr>
          <w:b/>
          <w:bCs/>
          <w:color w:val="292929"/>
          <w:sz w:val="26"/>
          <w:szCs w:val="26"/>
          <w:shd w:val="clear" w:color="auto" w:fill="FFFFFF"/>
        </w:rPr>
        <w:t>Parties to the Agreement</w:t>
      </w:r>
      <w:r w:rsidRPr="00927FD8">
        <w:rPr>
          <w:color w:val="292929"/>
          <w:sz w:val="26"/>
          <w:szCs w:val="26"/>
          <w:shd w:val="clear" w:color="auto" w:fill="FFFFFF"/>
        </w:rPr>
        <w:t>:</w:t>
      </w:r>
    </w:p>
    <w:p w14:paraId="4A44EBE1" w14:textId="71B38926" w:rsidR="00372D16" w:rsidRDefault="00372D16" w:rsidP="00264B5C">
      <w:r w:rsidRPr="00927FD8">
        <w:rPr>
          <w:color w:val="292929"/>
          <w:sz w:val="26"/>
          <w:szCs w:val="26"/>
          <w:shd w:val="clear" w:color="auto" w:fill="FFFFFF"/>
        </w:rPr>
        <w:t>All C</w:t>
      </w:r>
      <w:r w:rsidRPr="00927FD8">
        <w:t>anadian provinces and territories</w:t>
      </w:r>
      <w:r w:rsidR="00B85DE1">
        <w:t xml:space="preserve"> and the Canadian federal government </w:t>
      </w:r>
    </w:p>
    <w:p w14:paraId="6F7587ED" w14:textId="6C0906A1" w:rsidR="0082625F" w:rsidRPr="0062698D" w:rsidRDefault="0082625F" w:rsidP="00264B5C">
      <w:pPr>
        <w:rPr>
          <w:rFonts w:cs="Arial"/>
          <w:szCs w:val="24"/>
          <w:highlight w:val="yellow"/>
        </w:rPr>
      </w:pPr>
      <w:r w:rsidRPr="00F8026B">
        <w:rPr>
          <w:b/>
          <w:bCs/>
        </w:rPr>
        <w:t>Source:</w:t>
      </w:r>
      <w:r w:rsidRPr="00372D16">
        <w:rPr>
          <w:rFonts w:cs="Arial"/>
          <w:color w:val="006E81" w:themeColor="text2"/>
          <w:szCs w:val="24"/>
        </w:rPr>
        <w:t xml:space="preserve"> </w:t>
      </w:r>
      <w:hyperlink r:id="rId22" w:history="1">
        <w:r w:rsidRPr="00927FD8">
          <w:rPr>
            <w:rStyle w:val="Hyperlink"/>
            <w:rFonts w:cs="Arial"/>
            <w:szCs w:val="24"/>
          </w:rPr>
          <w:t>https://www.cfta-alec.ca/</w:t>
        </w:r>
      </w:hyperlink>
      <w:r w:rsidRPr="00372D16">
        <w:rPr>
          <w:rFonts w:cs="Arial"/>
          <w:szCs w:val="24"/>
          <w:highlight w:val="yellow"/>
        </w:rPr>
        <w:t xml:space="preserve"> </w:t>
      </w:r>
    </w:p>
    <w:p w14:paraId="254D9C5A" w14:textId="40E84783" w:rsidR="00ED6A27" w:rsidRDefault="00C53631" w:rsidP="00D255AC">
      <w:pPr>
        <w:pStyle w:val="ListParagraph"/>
        <w:numPr>
          <w:ilvl w:val="0"/>
          <w:numId w:val="37"/>
        </w:numPr>
        <w:spacing w:after="240" w:line="240" w:lineRule="auto"/>
        <w:ind w:left="360"/>
        <w:rPr>
          <w:rFonts w:eastAsia="Times New Roman" w:cs="Arial"/>
          <w:b/>
          <w:bCs/>
          <w:szCs w:val="24"/>
          <w:lang w:eastAsia="en-CA"/>
        </w:rPr>
      </w:pPr>
      <w:r>
        <w:rPr>
          <w:rFonts w:eastAsia="Times New Roman" w:cs="Arial"/>
          <w:b/>
          <w:bCs/>
          <w:szCs w:val="24"/>
          <w:lang w:eastAsia="en-CA"/>
        </w:rPr>
        <w:t xml:space="preserve">Trade and Cooperation Agreement Between Quebec and </w:t>
      </w:r>
      <w:r w:rsidR="00ED6A27">
        <w:rPr>
          <w:rFonts w:eastAsia="Times New Roman" w:cs="Arial"/>
          <w:b/>
          <w:bCs/>
          <w:szCs w:val="24"/>
          <w:lang w:eastAsia="en-CA"/>
        </w:rPr>
        <w:t>Ontario</w:t>
      </w:r>
      <w:r>
        <w:rPr>
          <w:rFonts w:eastAsia="Times New Roman" w:cs="Arial"/>
          <w:b/>
          <w:bCs/>
          <w:szCs w:val="24"/>
          <w:lang w:eastAsia="en-CA"/>
        </w:rPr>
        <w:t xml:space="preserve"> (OQTCA)</w:t>
      </w:r>
    </w:p>
    <w:p w14:paraId="004B957C" w14:textId="00AA9B33" w:rsidR="00372D16" w:rsidRDefault="00ED6A27" w:rsidP="006F2521">
      <w:pPr>
        <w:spacing w:after="240" w:line="240" w:lineRule="auto"/>
        <w:rPr>
          <w:szCs w:val="24"/>
        </w:rPr>
      </w:pPr>
      <w:r w:rsidRPr="00927FD8">
        <w:rPr>
          <w:szCs w:val="24"/>
        </w:rPr>
        <w:t xml:space="preserve">Ontario and Quebec signed a trade agreement that promotes trade and economic cooperation between the two provinces. </w:t>
      </w:r>
      <w:r w:rsidR="00372D16" w:rsidRPr="00927FD8">
        <w:rPr>
          <w:szCs w:val="24"/>
        </w:rPr>
        <w:t>The Agreement entered into force on January 1, 2016.</w:t>
      </w:r>
    </w:p>
    <w:p w14:paraId="0DEA5218" w14:textId="77777777" w:rsidR="00E7515F" w:rsidRDefault="00E7515F" w:rsidP="00E7515F">
      <w:r w:rsidRPr="00F8026B">
        <w:rPr>
          <w:b/>
          <w:bCs/>
        </w:rPr>
        <w:lastRenderedPageBreak/>
        <w:t>Source:</w:t>
      </w:r>
      <w:r w:rsidRPr="00372D16">
        <w:rPr>
          <w:rFonts w:cs="Arial"/>
          <w:color w:val="006E81" w:themeColor="text2"/>
          <w:szCs w:val="24"/>
        </w:rPr>
        <w:t xml:space="preserve"> </w:t>
      </w:r>
      <w:hyperlink r:id="rId23" w:history="1">
        <w:r>
          <w:rPr>
            <w:rStyle w:val="Hyperlink"/>
          </w:rPr>
          <w:t>Trade and Cooperation Agreement Between Ontario and Quebec | ontario.ca</w:t>
        </w:r>
      </w:hyperlink>
    </w:p>
    <w:p w14:paraId="22E7937D" w14:textId="71A27411" w:rsidR="00691ACE" w:rsidRPr="00151D3B" w:rsidRDefault="00691ACE" w:rsidP="00D255AC">
      <w:pPr>
        <w:pStyle w:val="ListParagraph"/>
        <w:numPr>
          <w:ilvl w:val="0"/>
          <w:numId w:val="37"/>
        </w:numPr>
        <w:spacing w:after="240" w:line="240" w:lineRule="auto"/>
        <w:ind w:left="360"/>
        <w:rPr>
          <w:rFonts w:eastAsia="Times New Roman" w:cs="Arial"/>
          <w:b/>
          <w:bCs/>
          <w:szCs w:val="24"/>
          <w:lang w:eastAsia="en-CA"/>
        </w:rPr>
      </w:pPr>
      <w:r w:rsidRPr="00151D3B">
        <w:rPr>
          <w:rFonts w:eastAsia="Times New Roman" w:cs="Arial"/>
          <w:b/>
          <w:bCs/>
          <w:szCs w:val="24"/>
          <w:lang w:eastAsia="en-CA"/>
        </w:rPr>
        <w:t>Canada-United Kingdom Trade Continuity Agreement (CUKTCA)</w:t>
      </w:r>
    </w:p>
    <w:p w14:paraId="4BDEEEED" w14:textId="6A93AD18" w:rsidR="00C500FD" w:rsidRPr="000202DB" w:rsidRDefault="46414DEF" w:rsidP="006F2521">
      <w:pPr>
        <w:spacing w:after="240" w:line="240" w:lineRule="auto"/>
        <w:rPr>
          <w:szCs w:val="24"/>
        </w:rPr>
      </w:pPr>
      <w:r w:rsidRPr="000202DB">
        <w:rPr>
          <w:szCs w:val="24"/>
        </w:rPr>
        <w:t xml:space="preserve">As of January 1, 2021, the </w:t>
      </w:r>
      <w:bookmarkStart w:id="232" w:name="_Int_ia7ZUWuO"/>
      <w:r w:rsidRPr="000202DB">
        <w:rPr>
          <w:szCs w:val="24"/>
        </w:rPr>
        <w:t>UK</w:t>
      </w:r>
      <w:bookmarkEnd w:id="232"/>
      <w:r w:rsidRPr="000202DB">
        <w:rPr>
          <w:szCs w:val="24"/>
        </w:rPr>
        <w:t xml:space="preserve"> fully left the EU, and CETA ceased to apply between Canada and the UK. The </w:t>
      </w:r>
      <w:r w:rsidR="2DA44DD0" w:rsidRPr="000202DB">
        <w:rPr>
          <w:szCs w:val="24"/>
        </w:rPr>
        <w:t>CUKTCA entered</w:t>
      </w:r>
      <w:r w:rsidRPr="000202DB">
        <w:rPr>
          <w:szCs w:val="24"/>
        </w:rPr>
        <w:t xml:space="preserve"> into force on April 1, 2021. It </w:t>
      </w:r>
      <w:r w:rsidR="00C53631" w:rsidRPr="00C53631">
        <w:rPr>
          <w:szCs w:val="24"/>
        </w:rPr>
        <w:t>replicates the procedural rules and market access commitments that Canada and the UK have agreed to in the CETA.</w:t>
      </w:r>
    </w:p>
    <w:p w14:paraId="3F29CAEE" w14:textId="77777777" w:rsidR="00DC7DCF" w:rsidRDefault="00B26A85" w:rsidP="00B26A85">
      <w:pPr>
        <w:rPr>
          <w:rFonts w:cs="Arial"/>
          <w:color w:val="006E81" w:themeColor="text2"/>
          <w:szCs w:val="24"/>
        </w:rPr>
        <w:sectPr w:rsidR="00DC7DCF" w:rsidSect="00BC62B7">
          <w:type w:val="continuous"/>
          <w:pgSz w:w="12240" w:h="15840"/>
          <w:pgMar w:top="1440" w:right="1440" w:bottom="1440" w:left="1440" w:header="308" w:footer="340" w:gutter="0"/>
          <w:cols w:space="708"/>
          <w:titlePg/>
          <w:docGrid w:linePitch="360"/>
        </w:sectPr>
      </w:pPr>
      <w:r>
        <w:rPr>
          <w:rFonts w:cs="Arial"/>
          <w:b/>
          <w:bCs/>
          <w:szCs w:val="24"/>
          <w:lang w:val="en"/>
        </w:rPr>
        <w:t>Sources</w:t>
      </w:r>
      <w:r w:rsidRPr="000202DB">
        <w:rPr>
          <w:rFonts w:cs="Arial"/>
          <w:b/>
          <w:bCs/>
          <w:szCs w:val="24"/>
          <w:lang w:val="en"/>
        </w:rPr>
        <w:t>:</w:t>
      </w:r>
      <w:r w:rsidRPr="0084646B">
        <w:t xml:space="preserve"> </w:t>
      </w:r>
      <w:hyperlink r:id="rId24" w:history="1">
        <w:r w:rsidRPr="003F110F">
          <w:rPr>
            <w:rStyle w:val="Hyperlink"/>
            <w:rFonts w:cs="Arial"/>
            <w:szCs w:val="24"/>
          </w:rPr>
          <w:t>https://www.international.gc.ca/trade-commerce/trade-agreements-accords-commerciaux/agr-acc/cuktca-acccru/trade-continuity-agreement.aspx?lang=eng</w:t>
        </w:r>
      </w:hyperlink>
      <w:r w:rsidRPr="00372D16">
        <w:rPr>
          <w:rFonts w:cs="Arial"/>
          <w:color w:val="006E81" w:themeColor="text2"/>
          <w:szCs w:val="24"/>
        </w:rPr>
        <w:t xml:space="preserve"> </w:t>
      </w:r>
    </w:p>
    <w:p w14:paraId="36D56214" w14:textId="77777777" w:rsidR="006E7BC7" w:rsidRDefault="006B255F" w:rsidP="006F3345">
      <w:pPr>
        <w:pStyle w:val="Heading2"/>
      </w:pPr>
      <w:bookmarkStart w:id="233" w:name="_Toc174975063"/>
      <w:r w:rsidRPr="000202DB">
        <w:lastRenderedPageBreak/>
        <w:t>A</w:t>
      </w:r>
      <w:r w:rsidRPr="009459A2">
        <w:t xml:space="preserve">ppendix </w:t>
      </w:r>
      <w:r w:rsidR="003849B3">
        <w:t>D</w:t>
      </w:r>
      <w:r w:rsidRPr="009459A2">
        <w:t xml:space="preserve">: </w:t>
      </w:r>
      <w:r w:rsidR="008F3D23">
        <w:t>BOBI Strategy At a Glance</w:t>
      </w:r>
      <w:r w:rsidR="008E452F">
        <w:t xml:space="preserve"> for the OPS </w:t>
      </w:r>
      <w:r w:rsidR="006E7BC7">
        <w:t>Buyers</w:t>
      </w:r>
      <w:bookmarkEnd w:id="233"/>
      <w:r w:rsidR="006E7BC7">
        <w:t xml:space="preserve"> </w:t>
      </w:r>
    </w:p>
    <w:p w14:paraId="3F33F4D5" w14:textId="75B4DED4" w:rsidR="00390C05" w:rsidRPr="00081281" w:rsidRDefault="00F173D9" w:rsidP="00081281">
      <w:pPr>
        <w:spacing w:before="360" w:after="0"/>
        <w:rPr>
          <w:b/>
          <w:bCs/>
          <w:color w:val="7030A0"/>
          <w:sz w:val="22"/>
        </w:rPr>
      </w:pPr>
      <w:r w:rsidRPr="00081281">
        <w:rPr>
          <w:b/>
          <w:bCs/>
          <w:color w:val="7030A0"/>
          <w:sz w:val="22"/>
        </w:rPr>
        <w:t>INVITATIONAL PROCUREMENT PROCESS</w:t>
      </w:r>
    </w:p>
    <w:tbl>
      <w:tblPr>
        <w:tblStyle w:val="TableGrid"/>
        <w:tblW w:w="18445" w:type="dxa"/>
        <w:tblLook w:val="04A0" w:firstRow="1" w:lastRow="0" w:firstColumn="1" w:lastColumn="0" w:noHBand="0" w:noVBand="1"/>
      </w:tblPr>
      <w:tblGrid>
        <w:gridCol w:w="3505"/>
        <w:gridCol w:w="10530"/>
        <w:gridCol w:w="4410"/>
      </w:tblGrid>
      <w:tr w:rsidR="00390C05" w:rsidRPr="00EA217C" w14:paraId="303431D8" w14:textId="77777777" w:rsidTr="00503900">
        <w:trPr>
          <w:trHeight w:val="393"/>
        </w:trPr>
        <w:tc>
          <w:tcPr>
            <w:tcW w:w="3505" w:type="dxa"/>
          </w:tcPr>
          <w:p w14:paraId="2579F9A9" w14:textId="67009150" w:rsidR="00390C05" w:rsidRPr="00EA217C" w:rsidRDefault="00390C05" w:rsidP="00B44D70">
            <w:pPr>
              <w:tabs>
                <w:tab w:val="left" w:pos="13060"/>
              </w:tabs>
              <w:spacing w:before="0" w:after="0" w:line="240" w:lineRule="auto"/>
              <w:jc w:val="center"/>
              <w:rPr>
                <w:b/>
                <w:bCs/>
                <w:color w:val="7030A0"/>
                <w:sz w:val="21"/>
                <w:szCs w:val="21"/>
              </w:rPr>
            </w:pPr>
            <w:r w:rsidRPr="00EA217C">
              <w:rPr>
                <w:b/>
                <w:bCs/>
                <w:sz w:val="21"/>
                <w:szCs w:val="21"/>
              </w:rPr>
              <w:t>Approach</w:t>
            </w:r>
          </w:p>
        </w:tc>
        <w:tc>
          <w:tcPr>
            <w:tcW w:w="10530" w:type="dxa"/>
          </w:tcPr>
          <w:p w14:paraId="536BA0F5" w14:textId="0C7F1CF7" w:rsidR="00390C05" w:rsidRPr="00EA217C" w:rsidRDefault="00390C05" w:rsidP="00B44D70">
            <w:pPr>
              <w:tabs>
                <w:tab w:val="left" w:pos="13060"/>
              </w:tabs>
              <w:spacing w:before="0" w:after="0" w:line="240" w:lineRule="auto"/>
              <w:jc w:val="center"/>
              <w:rPr>
                <w:b/>
                <w:bCs/>
                <w:color w:val="7030A0"/>
                <w:sz w:val="21"/>
                <w:szCs w:val="21"/>
              </w:rPr>
            </w:pPr>
            <w:r w:rsidRPr="00EA217C">
              <w:rPr>
                <w:b/>
                <w:bCs/>
                <w:sz w:val="21"/>
                <w:szCs w:val="21"/>
              </w:rPr>
              <w:t>Strategy</w:t>
            </w:r>
          </w:p>
        </w:tc>
        <w:tc>
          <w:tcPr>
            <w:tcW w:w="4410" w:type="dxa"/>
          </w:tcPr>
          <w:p w14:paraId="630ACBAA" w14:textId="3B7748D9" w:rsidR="00390C05" w:rsidRPr="00EA217C" w:rsidRDefault="009926C3" w:rsidP="00B44D70">
            <w:pPr>
              <w:tabs>
                <w:tab w:val="left" w:pos="13060"/>
              </w:tabs>
              <w:spacing w:before="0" w:after="0" w:line="240" w:lineRule="auto"/>
              <w:jc w:val="center"/>
              <w:rPr>
                <w:b/>
                <w:bCs/>
                <w:color w:val="7030A0"/>
                <w:sz w:val="21"/>
                <w:szCs w:val="21"/>
              </w:rPr>
            </w:pPr>
            <w:r w:rsidRPr="00EA217C">
              <w:rPr>
                <w:b/>
                <w:bCs/>
                <w:sz w:val="21"/>
                <w:szCs w:val="21"/>
              </w:rPr>
              <w:t>Threshold</w:t>
            </w:r>
            <w:r w:rsidRPr="00EA217C">
              <w:rPr>
                <w:rStyle w:val="FootnoteReference"/>
                <w:b/>
                <w:bCs/>
                <w:sz w:val="21"/>
                <w:szCs w:val="21"/>
              </w:rPr>
              <w:footnoteReference w:id="6"/>
            </w:r>
          </w:p>
        </w:tc>
      </w:tr>
      <w:tr w:rsidR="00390C05" w:rsidRPr="00EA217C" w14:paraId="5BF153A1" w14:textId="77777777" w:rsidTr="00503900">
        <w:trPr>
          <w:trHeight w:val="1097"/>
        </w:trPr>
        <w:tc>
          <w:tcPr>
            <w:tcW w:w="3505" w:type="dxa"/>
          </w:tcPr>
          <w:p w14:paraId="424F2999" w14:textId="58CD68EE" w:rsidR="00390C05" w:rsidRPr="00EA217C" w:rsidRDefault="00B44D70" w:rsidP="00C76A8C">
            <w:pPr>
              <w:tabs>
                <w:tab w:val="left" w:pos="13060"/>
              </w:tabs>
              <w:spacing w:before="0" w:after="0" w:line="240" w:lineRule="auto"/>
              <w:rPr>
                <w:b/>
                <w:bCs/>
                <w:color w:val="7030A0"/>
                <w:sz w:val="21"/>
                <w:szCs w:val="21"/>
              </w:rPr>
            </w:pPr>
            <w:r w:rsidRPr="00EA217C">
              <w:rPr>
                <w:sz w:val="21"/>
                <w:szCs w:val="21"/>
              </w:rPr>
              <w:t>Below domestic trade agreement thresholds</w:t>
            </w:r>
          </w:p>
        </w:tc>
        <w:tc>
          <w:tcPr>
            <w:tcW w:w="10530" w:type="dxa"/>
          </w:tcPr>
          <w:p w14:paraId="71FB97E3" w14:textId="7A579035" w:rsidR="00390C05" w:rsidRPr="00EA217C" w:rsidRDefault="00B44D70" w:rsidP="00B44D70">
            <w:pPr>
              <w:tabs>
                <w:tab w:val="left" w:pos="13060"/>
              </w:tabs>
              <w:spacing w:before="0" w:after="0" w:line="240" w:lineRule="auto"/>
              <w:rPr>
                <w:b/>
                <w:bCs/>
                <w:color w:val="7030A0"/>
                <w:sz w:val="21"/>
                <w:szCs w:val="21"/>
              </w:rPr>
            </w:pPr>
            <w:r w:rsidRPr="00EA217C">
              <w:rPr>
                <w:sz w:val="21"/>
                <w:szCs w:val="21"/>
              </w:rPr>
              <w:t>Government entities must give preference to Ontario businesses. Buyers should invite only Ontario businesses wherever possible. If not possible then give a 10% evaluation advantage to the Ontario businesses that submit a bid.</w:t>
            </w:r>
          </w:p>
        </w:tc>
        <w:tc>
          <w:tcPr>
            <w:tcW w:w="4410" w:type="dxa"/>
          </w:tcPr>
          <w:p w14:paraId="3DF29190" w14:textId="77777777" w:rsidR="00D74BA0" w:rsidRPr="00EA217C" w:rsidRDefault="00D74BA0" w:rsidP="00D74BA0">
            <w:pPr>
              <w:spacing w:before="0" w:after="0" w:line="240" w:lineRule="auto"/>
              <w:rPr>
                <w:sz w:val="21"/>
                <w:szCs w:val="21"/>
              </w:rPr>
            </w:pPr>
            <w:r w:rsidRPr="00EA217C">
              <w:rPr>
                <w:sz w:val="21"/>
                <w:szCs w:val="21"/>
              </w:rPr>
              <w:t>Goods - less than $30,300</w:t>
            </w:r>
          </w:p>
          <w:p w14:paraId="1DC7122A" w14:textId="77777777" w:rsidR="00D74BA0" w:rsidRPr="00EA217C" w:rsidRDefault="00D74BA0" w:rsidP="00D74BA0">
            <w:pPr>
              <w:spacing w:before="0" w:after="0" w:line="240" w:lineRule="auto"/>
              <w:rPr>
                <w:b/>
                <w:bCs/>
                <w:sz w:val="21"/>
                <w:szCs w:val="21"/>
              </w:rPr>
            </w:pPr>
            <w:r w:rsidRPr="00EA217C">
              <w:rPr>
                <w:sz w:val="21"/>
                <w:szCs w:val="21"/>
              </w:rPr>
              <w:t>Services – less than $121,200</w:t>
            </w:r>
            <w:r w:rsidRPr="00EA217C">
              <w:rPr>
                <w:b/>
                <w:bCs/>
                <w:sz w:val="21"/>
                <w:szCs w:val="21"/>
              </w:rPr>
              <w:t xml:space="preserve"> </w:t>
            </w:r>
          </w:p>
          <w:p w14:paraId="5BFEE057" w14:textId="77777777" w:rsidR="00390C05" w:rsidRPr="00EA217C" w:rsidRDefault="00390C05" w:rsidP="00B44D70">
            <w:pPr>
              <w:tabs>
                <w:tab w:val="left" w:pos="13060"/>
              </w:tabs>
              <w:spacing w:before="0" w:after="0" w:line="240" w:lineRule="auto"/>
              <w:jc w:val="center"/>
              <w:rPr>
                <w:b/>
                <w:bCs/>
                <w:color w:val="7030A0"/>
                <w:sz w:val="21"/>
                <w:szCs w:val="21"/>
              </w:rPr>
            </w:pPr>
          </w:p>
        </w:tc>
      </w:tr>
    </w:tbl>
    <w:p w14:paraId="7C569C74" w14:textId="77777777" w:rsidR="00E37F3E" w:rsidRPr="006E7BC7" w:rsidRDefault="00E37F3E" w:rsidP="00E37F3E">
      <w:pPr>
        <w:spacing w:before="360" w:after="0"/>
        <w:rPr>
          <w:b/>
          <w:bCs/>
          <w:color w:val="7030A0"/>
          <w:sz w:val="22"/>
        </w:rPr>
      </w:pPr>
      <w:r w:rsidRPr="006E7BC7">
        <w:rPr>
          <w:b/>
          <w:bCs/>
          <w:color w:val="7030A0"/>
          <w:sz w:val="22"/>
        </w:rPr>
        <w:t>OPEN-COMPETITIVE PROCUREMENT PROCESS</w:t>
      </w:r>
    </w:p>
    <w:tbl>
      <w:tblPr>
        <w:tblStyle w:val="TableGrid"/>
        <w:tblW w:w="18445" w:type="dxa"/>
        <w:tblLook w:val="04A0" w:firstRow="1" w:lastRow="0" w:firstColumn="1" w:lastColumn="0" w:noHBand="0" w:noVBand="1"/>
      </w:tblPr>
      <w:tblGrid>
        <w:gridCol w:w="3505"/>
        <w:gridCol w:w="10530"/>
        <w:gridCol w:w="4410"/>
      </w:tblGrid>
      <w:tr w:rsidR="00BB0154" w:rsidRPr="006E7BC7" w14:paraId="779EAE16" w14:textId="77777777" w:rsidTr="00503900">
        <w:trPr>
          <w:trHeight w:val="405"/>
        </w:trPr>
        <w:tc>
          <w:tcPr>
            <w:tcW w:w="3505" w:type="dxa"/>
          </w:tcPr>
          <w:p w14:paraId="0B20DE2A" w14:textId="77777777" w:rsidR="00BB0154" w:rsidRPr="00EA217C" w:rsidRDefault="00BB0154" w:rsidP="009F21DC">
            <w:pPr>
              <w:tabs>
                <w:tab w:val="left" w:pos="13060"/>
              </w:tabs>
              <w:spacing w:before="0" w:after="0" w:line="240" w:lineRule="auto"/>
              <w:jc w:val="center"/>
              <w:rPr>
                <w:b/>
                <w:bCs/>
                <w:color w:val="7030A0"/>
                <w:sz w:val="21"/>
                <w:szCs w:val="21"/>
              </w:rPr>
            </w:pPr>
            <w:r w:rsidRPr="00EA217C">
              <w:rPr>
                <w:b/>
                <w:bCs/>
                <w:sz w:val="21"/>
                <w:szCs w:val="21"/>
              </w:rPr>
              <w:t>Approach</w:t>
            </w:r>
          </w:p>
        </w:tc>
        <w:tc>
          <w:tcPr>
            <w:tcW w:w="10530" w:type="dxa"/>
          </w:tcPr>
          <w:p w14:paraId="06F7B991" w14:textId="77777777" w:rsidR="00BB0154" w:rsidRPr="00EA217C" w:rsidRDefault="00BB0154" w:rsidP="009F21DC">
            <w:pPr>
              <w:tabs>
                <w:tab w:val="left" w:pos="13060"/>
              </w:tabs>
              <w:spacing w:before="0" w:after="0" w:line="240" w:lineRule="auto"/>
              <w:jc w:val="center"/>
              <w:rPr>
                <w:b/>
                <w:bCs/>
                <w:color w:val="7030A0"/>
                <w:sz w:val="21"/>
                <w:szCs w:val="21"/>
              </w:rPr>
            </w:pPr>
            <w:r w:rsidRPr="00EA217C">
              <w:rPr>
                <w:b/>
                <w:bCs/>
                <w:sz w:val="21"/>
                <w:szCs w:val="21"/>
              </w:rPr>
              <w:t>Strategy</w:t>
            </w:r>
          </w:p>
        </w:tc>
        <w:tc>
          <w:tcPr>
            <w:tcW w:w="4410" w:type="dxa"/>
          </w:tcPr>
          <w:p w14:paraId="6896AE04" w14:textId="5825D4A2" w:rsidR="00BB0154" w:rsidRPr="00EA217C" w:rsidRDefault="00BB0154" w:rsidP="009F21DC">
            <w:pPr>
              <w:tabs>
                <w:tab w:val="left" w:pos="13060"/>
              </w:tabs>
              <w:spacing w:before="0" w:after="0" w:line="240" w:lineRule="auto"/>
              <w:jc w:val="center"/>
              <w:rPr>
                <w:b/>
                <w:bCs/>
                <w:color w:val="7030A0"/>
                <w:sz w:val="21"/>
                <w:szCs w:val="21"/>
              </w:rPr>
            </w:pPr>
            <w:r w:rsidRPr="00EA217C">
              <w:rPr>
                <w:b/>
                <w:bCs/>
                <w:sz w:val="21"/>
                <w:szCs w:val="21"/>
              </w:rPr>
              <w:t>Threshold</w:t>
            </w:r>
          </w:p>
        </w:tc>
      </w:tr>
      <w:tr w:rsidR="00BB0154" w:rsidRPr="006E7BC7" w14:paraId="4E4744BB" w14:textId="77777777" w:rsidTr="00503900">
        <w:trPr>
          <w:trHeight w:val="1016"/>
        </w:trPr>
        <w:tc>
          <w:tcPr>
            <w:tcW w:w="3505" w:type="dxa"/>
          </w:tcPr>
          <w:p w14:paraId="1D896BA5" w14:textId="15859A89" w:rsidR="00BB0154" w:rsidRPr="00EA217C" w:rsidRDefault="00C76A8C" w:rsidP="00C76A8C">
            <w:pPr>
              <w:tabs>
                <w:tab w:val="left" w:pos="13060"/>
              </w:tabs>
              <w:spacing w:before="0" w:after="0" w:line="240" w:lineRule="auto"/>
              <w:rPr>
                <w:b/>
                <w:bCs/>
                <w:color w:val="7030A0"/>
                <w:sz w:val="21"/>
                <w:szCs w:val="21"/>
              </w:rPr>
            </w:pPr>
            <w:r w:rsidRPr="00EA217C">
              <w:rPr>
                <w:sz w:val="21"/>
                <w:szCs w:val="21"/>
              </w:rPr>
              <w:t>Below international trade agreement thresholds but above domestic trade agreement thresholds</w:t>
            </w:r>
          </w:p>
        </w:tc>
        <w:tc>
          <w:tcPr>
            <w:tcW w:w="10530" w:type="dxa"/>
            <w:tcBorders>
              <w:bottom w:val="single" w:sz="4" w:space="0" w:color="auto"/>
            </w:tcBorders>
          </w:tcPr>
          <w:p w14:paraId="3BF350EA" w14:textId="6DCEB0E0" w:rsidR="00BB0154" w:rsidRPr="00EA217C" w:rsidRDefault="005C725A" w:rsidP="009F21DC">
            <w:pPr>
              <w:tabs>
                <w:tab w:val="left" w:pos="13060"/>
              </w:tabs>
              <w:spacing w:before="0" w:after="0" w:line="240" w:lineRule="auto"/>
              <w:rPr>
                <w:b/>
                <w:bCs/>
                <w:color w:val="7030A0"/>
                <w:sz w:val="21"/>
                <w:szCs w:val="21"/>
              </w:rPr>
            </w:pPr>
            <w:r w:rsidRPr="00EA217C">
              <w:rPr>
                <w:sz w:val="21"/>
                <w:szCs w:val="21"/>
              </w:rPr>
              <w:t>Government entities must give preference to Canadian businesses. If possible, limit the procurement opportunity to Canadian businesses and if not possible then give a 10% evaluation advantage to Canadian businesses who submit a bid.</w:t>
            </w:r>
          </w:p>
        </w:tc>
        <w:tc>
          <w:tcPr>
            <w:tcW w:w="4410" w:type="dxa"/>
            <w:tcBorders>
              <w:bottom w:val="single" w:sz="4" w:space="0" w:color="auto"/>
            </w:tcBorders>
          </w:tcPr>
          <w:p w14:paraId="70931C64" w14:textId="77777777" w:rsidR="00E16337" w:rsidRPr="00EA217C" w:rsidRDefault="00E16337" w:rsidP="007931C9">
            <w:pPr>
              <w:spacing w:before="0" w:after="0" w:line="240" w:lineRule="auto"/>
              <w:rPr>
                <w:sz w:val="21"/>
                <w:szCs w:val="21"/>
              </w:rPr>
            </w:pPr>
            <w:r w:rsidRPr="00EA217C">
              <w:rPr>
                <w:sz w:val="21"/>
                <w:szCs w:val="21"/>
              </w:rPr>
              <w:t>Goods – between 30,300 and $353,00</w:t>
            </w:r>
          </w:p>
          <w:p w14:paraId="5BB51DDB" w14:textId="56B508E9" w:rsidR="00BB0154" w:rsidRPr="00EA217C" w:rsidRDefault="00E16337" w:rsidP="007931C9">
            <w:pPr>
              <w:tabs>
                <w:tab w:val="left" w:pos="13060"/>
              </w:tabs>
              <w:spacing w:before="0" w:after="0" w:line="240" w:lineRule="auto"/>
              <w:rPr>
                <w:b/>
                <w:bCs/>
                <w:color w:val="7030A0"/>
                <w:sz w:val="21"/>
                <w:szCs w:val="21"/>
              </w:rPr>
            </w:pPr>
            <w:r w:rsidRPr="00EA217C">
              <w:rPr>
                <w:sz w:val="21"/>
                <w:szCs w:val="21"/>
              </w:rPr>
              <w:t>Services – between 121,200 and $353,300</w:t>
            </w:r>
          </w:p>
        </w:tc>
      </w:tr>
      <w:tr w:rsidR="00081281" w:rsidRPr="006E7BC7" w14:paraId="2FCEFD09" w14:textId="77777777" w:rsidTr="00503900">
        <w:tc>
          <w:tcPr>
            <w:tcW w:w="3505" w:type="dxa"/>
            <w:vMerge w:val="restart"/>
            <w:tcBorders>
              <w:top w:val="single" w:sz="4" w:space="0" w:color="auto"/>
              <w:left w:val="single" w:sz="4" w:space="0" w:color="auto"/>
              <w:right w:val="single" w:sz="4" w:space="0" w:color="auto"/>
            </w:tcBorders>
          </w:tcPr>
          <w:p w14:paraId="63250F7C" w14:textId="067276EC" w:rsidR="00081281" w:rsidRPr="00EA217C" w:rsidRDefault="00081281" w:rsidP="00081281">
            <w:pPr>
              <w:tabs>
                <w:tab w:val="left" w:pos="13060"/>
              </w:tabs>
              <w:spacing w:before="0" w:after="0" w:line="240" w:lineRule="auto"/>
              <w:rPr>
                <w:b/>
                <w:bCs/>
                <w:color w:val="7030A0"/>
                <w:sz w:val="21"/>
                <w:szCs w:val="21"/>
              </w:rPr>
            </w:pPr>
            <w:r w:rsidRPr="00EA217C">
              <w:rPr>
                <w:sz w:val="21"/>
                <w:szCs w:val="21"/>
              </w:rPr>
              <w:t>Above International trade agreement thresholds</w:t>
            </w:r>
          </w:p>
        </w:tc>
        <w:tc>
          <w:tcPr>
            <w:tcW w:w="10530" w:type="dxa"/>
            <w:tcBorders>
              <w:top w:val="single" w:sz="4" w:space="0" w:color="auto"/>
              <w:left w:val="single" w:sz="4" w:space="0" w:color="auto"/>
              <w:bottom w:val="single" w:sz="4" w:space="0" w:color="auto"/>
              <w:right w:val="single" w:sz="4" w:space="0" w:color="auto"/>
            </w:tcBorders>
          </w:tcPr>
          <w:p w14:paraId="1FCFE1E3" w14:textId="7DFE5C3C" w:rsidR="00081281" w:rsidRPr="00EA217C" w:rsidRDefault="00081281" w:rsidP="00081281">
            <w:pPr>
              <w:tabs>
                <w:tab w:val="left" w:pos="13060"/>
              </w:tabs>
              <w:spacing w:before="0" w:after="0" w:line="240" w:lineRule="auto"/>
              <w:rPr>
                <w:b/>
                <w:bCs/>
                <w:color w:val="7030A0"/>
                <w:sz w:val="21"/>
                <w:szCs w:val="21"/>
              </w:rPr>
            </w:pPr>
            <w:r w:rsidRPr="00EA217C">
              <w:rPr>
                <w:sz w:val="21"/>
                <w:szCs w:val="21"/>
              </w:rPr>
              <w:t>Government entities must give preference to businesses of Ontario’s trading partners.</w:t>
            </w:r>
          </w:p>
        </w:tc>
        <w:tc>
          <w:tcPr>
            <w:tcW w:w="4410" w:type="dxa"/>
            <w:tcBorders>
              <w:top w:val="single" w:sz="4" w:space="0" w:color="auto"/>
              <w:left w:val="single" w:sz="4" w:space="0" w:color="auto"/>
              <w:bottom w:val="single" w:sz="4" w:space="0" w:color="auto"/>
              <w:right w:val="single" w:sz="4" w:space="0" w:color="auto"/>
            </w:tcBorders>
          </w:tcPr>
          <w:p w14:paraId="2BC1B792" w14:textId="77777777" w:rsidR="00081281" w:rsidRPr="00EA217C" w:rsidRDefault="00081281" w:rsidP="00081281">
            <w:pPr>
              <w:spacing w:before="0" w:after="0" w:line="240" w:lineRule="auto"/>
              <w:rPr>
                <w:sz w:val="21"/>
                <w:szCs w:val="21"/>
              </w:rPr>
            </w:pPr>
            <w:r w:rsidRPr="00EA217C">
              <w:rPr>
                <w:sz w:val="21"/>
                <w:szCs w:val="21"/>
              </w:rPr>
              <w:t>Goods – between 30,300 and $353,00</w:t>
            </w:r>
          </w:p>
          <w:p w14:paraId="412E7F1B" w14:textId="41AC229F" w:rsidR="00081281" w:rsidRPr="00EA217C" w:rsidRDefault="00081281" w:rsidP="00081281">
            <w:pPr>
              <w:tabs>
                <w:tab w:val="left" w:pos="13060"/>
              </w:tabs>
              <w:spacing w:before="0" w:after="0" w:line="240" w:lineRule="auto"/>
              <w:rPr>
                <w:b/>
                <w:bCs/>
                <w:color w:val="7030A0"/>
                <w:sz w:val="21"/>
                <w:szCs w:val="21"/>
              </w:rPr>
            </w:pPr>
            <w:r w:rsidRPr="00EA217C">
              <w:rPr>
                <w:sz w:val="21"/>
                <w:szCs w:val="21"/>
              </w:rPr>
              <w:t>Services – between 121,200 and $353,300</w:t>
            </w:r>
          </w:p>
        </w:tc>
      </w:tr>
      <w:tr w:rsidR="00081281" w:rsidRPr="006E7BC7" w14:paraId="5949CC0B" w14:textId="77777777" w:rsidTr="00503900">
        <w:tc>
          <w:tcPr>
            <w:tcW w:w="3505" w:type="dxa"/>
            <w:vMerge/>
            <w:tcBorders>
              <w:left w:val="single" w:sz="4" w:space="0" w:color="auto"/>
              <w:right w:val="single" w:sz="4" w:space="0" w:color="auto"/>
            </w:tcBorders>
          </w:tcPr>
          <w:p w14:paraId="77D688CD" w14:textId="77777777" w:rsidR="00081281" w:rsidRPr="00EA217C" w:rsidRDefault="00081281" w:rsidP="00081281">
            <w:pPr>
              <w:tabs>
                <w:tab w:val="left" w:pos="13060"/>
              </w:tabs>
              <w:spacing w:before="0" w:after="0" w:line="240" w:lineRule="auto"/>
              <w:rPr>
                <w:sz w:val="21"/>
                <w:szCs w:val="21"/>
              </w:rPr>
            </w:pPr>
          </w:p>
        </w:tc>
        <w:tc>
          <w:tcPr>
            <w:tcW w:w="10530" w:type="dxa"/>
            <w:tcBorders>
              <w:top w:val="single" w:sz="4" w:space="0" w:color="auto"/>
              <w:left w:val="single" w:sz="4" w:space="0" w:color="auto"/>
              <w:bottom w:val="single" w:sz="4" w:space="0" w:color="auto"/>
              <w:right w:val="single" w:sz="4" w:space="0" w:color="auto"/>
            </w:tcBorders>
          </w:tcPr>
          <w:p w14:paraId="7C4B1DC0" w14:textId="4E2D4C6B" w:rsidR="00081281" w:rsidRPr="00EA217C" w:rsidRDefault="00081281" w:rsidP="00081281">
            <w:pPr>
              <w:tabs>
                <w:tab w:val="left" w:pos="13060"/>
              </w:tabs>
              <w:spacing w:before="0" w:after="0" w:line="240" w:lineRule="auto"/>
              <w:rPr>
                <w:b/>
                <w:bCs/>
                <w:color w:val="7030A0"/>
                <w:sz w:val="21"/>
                <w:szCs w:val="21"/>
              </w:rPr>
            </w:pPr>
            <w:r w:rsidRPr="00EA217C">
              <w:rPr>
                <w:sz w:val="21"/>
                <w:szCs w:val="21"/>
              </w:rPr>
              <w:t>Apply weighted domestic criteria in procurement evaluations</w:t>
            </w:r>
          </w:p>
        </w:tc>
        <w:tc>
          <w:tcPr>
            <w:tcW w:w="4410" w:type="dxa"/>
            <w:tcBorders>
              <w:top w:val="single" w:sz="4" w:space="0" w:color="auto"/>
              <w:left w:val="single" w:sz="4" w:space="0" w:color="auto"/>
              <w:bottom w:val="single" w:sz="4" w:space="0" w:color="auto"/>
              <w:right w:val="single" w:sz="4" w:space="0" w:color="auto"/>
            </w:tcBorders>
          </w:tcPr>
          <w:p w14:paraId="6947A1E4" w14:textId="77777777" w:rsidR="00081281" w:rsidRPr="00EA217C" w:rsidRDefault="00081281" w:rsidP="00081281">
            <w:pPr>
              <w:spacing w:before="0" w:after="0" w:line="240" w:lineRule="auto"/>
              <w:rPr>
                <w:sz w:val="21"/>
                <w:szCs w:val="21"/>
              </w:rPr>
            </w:pPr>
            <w:r w:rsidRPr="00EA217C">
              <w:rPr>
                <w:sz w:val="21"/>
                <w:szCs w:val="21"/>
              </w:rPr>
              <w:t xml:space="preserve">Goods &amp; Services - greater than $353,300 </w:t>
            </w:r>
          </w:p>
          <w:p w14:paraId="68C14390" w14:textId="3A87BBBE" w:rsidR="00081281" w:rsidRPr="00EA217C" w:rsidRDefault="00081281" w:rsidP="00081281">
            <w:pPr>
              <w:tabs>
                <w:tab w:val="left" w:pos="13060"/>
              </w:tabs>
              <w:spacing w:before="0" w:after="0" w:line="240" w:lineRule="auto"/>
              <w:rPr>
                <w:b/>
                <w:bCs/>
                <w:color w:val="7030A0"/>
                <w:sz w:val="21"/>
                <w:szCs w:val="21"/>
              </w:rPr>
            </w:pPr>
          </w:p>
        </w:tc>
      </w:tr>
      <w:tr w:rsidR="00081281" w:rsidRPr="006E7BC7" w14:paraId="1EEA9C52" w14:textId="77777777" w:rsidTr="00503900">
        <w:tc>
          <w:tcPr>
            <w:tcW w:w="3505" w:type="dxa"/>
            <w:vMerge/>
            <w:tcBorders>
              <w:left w:val="single" w:sz="4" w:space="0" w:color="auto"/>
              <w:right w:val="single" w:sz="4" w:space="0" w:color="auto"/>
            </w:tcBorders>
          </w:tcPr>
          <w:p w14:paraId="65E1ACD3" w14:textId="77777777" w:rsidR="00081281" w:rsidRPr="00EA217C" w:rsidRDefault="00081281" w:rsidP="00081281">
            <w:pPr>
              <w:tabs>
                <w:tab w:val="left" w:pos="13060"/>
              </w:tabs>
              <w:spacing w:before="0" w:after="0" w:line="240" w:lineRule="auto"/>
              <w:rPr>
                <w:sz w:val="21"/>
                <w:szCs w:val="21"/>
              </w:rPr>
            </w:pPr>
          </w:p>
        </w:tc>
        <w:tc>
          <w:tcPr>
            <w:tcW w:w="10530" w:type="dxa"/>
            <w:tcBorders>
              <w:top w:val="single" w:sz="4" w:space="0" w:color="auto"/>
              <w:left w:val="single" w:sz="4" w:space="0" w:color="auto"/>
              <w:right w:val="single" w:sz="4" w:space="0" w:color="auto"/>
            </w:tcBorders>
          </w:tcPr>
          <w:p w14:paraId="1DB013AA" w14:textId="1420A414" w:rsidR="00081281" w:rsidRPr="00EA217C" w:rsidRDefault="00081281" w:rsidP="00081281">
            <w:pPr>
              <w:tabs>
                <w:tab w:val="left" w:pos="13060"/>
              </w:tabs>
              <w:spacing w:before="0" w:after="0" w:line="240" w:lineRule="auto"/>
              <w:rPr>
                <w:b/>
                <w:bCs/>
                <w:color w:val="7030A0"/>
                <w:sz w:val="21"/>
                <w:szCs w:val="21"/>
              </w:rPr>
            </w:pPr>
            <w:r w:rsidRPr="00EA217C">
              <w:rPr>
                <w:sz w:val="21"/>
                <w:szCs w:val="21"/>
              </w:rPr>
              <w:t>For procurements with an estimated value of $50 million or more, in specified sectors include an Industrial Regional and Technology Benefit (IRTB) requirement for vendors</w:t>
            </w:r>
          </w:p>
        </w:tc>
        <w:tc>
          <w:tcPr>
            <w:tcW w:w="4410" w:type="dxa"/>
            <w:tcBorders>
              <w:top w:val="single" w:sz="4" w:space="0" w:color="auto"/>
              <w:left w:val="single" w:sz="4" w:space="0" w:color="auto"/>
              <w:bottom w:val="single" w:sz="4" w:space="0" w:color="auto"/>
              <w:right w:val="single" w:sz="4" w:space="0" w:color="auto"/>
            </w:tcBorders>
          </w:tcPr>
          <w:p w14:paraId="06EF21A6" w14:textId="043A3979" w:rsidR="00081281" w:rsidRPr="00EA217C" w:rsidRDefault="00081281" w:rsidP="00081281">
            <w:pPr>
              <w:tabs>
                <w:tab w:val="left" w:pos="13060"/>
              </w:tabs>
              <w:spacing w:before="0" w:after="0" w:line="240" w:lineRule="auto"/>
              <w:rPr>
                <w:b/>
                <w:bCs/>
                <w:color w:val="7030A0"/>
                <w:sz w:val="21"/>
                <w:szCs w:val="21"/>
              </w:rPr>
            </w:pPr>
            <w:r w:rsidRPr="00EA217C">
              <w:rPr>
                <w:sz w:val="21"/>
                <w:szCs w:val="21"/>
              </w:rPr>
              <w:t>$50M or more</w:t>
            </w:r>
          </w:p>
        </w:tc>
      </w:tr>
    </w:tbl>
    <w:p w14:paraId="0B6E3D60" w14:textId="77777777" w:rsidR="00485F73" w:rsidRPr="0003535B" w:rsidRDefault="00485F73" w:rsidP="00485F73">
      <w:pPr>
        <w:spacing w:before="360" w:after="0"/>
        <w:rPr>
          <w:b/>
          <w:bCs/>
          <w:color w:val="7030A0"/>
          <w:sz w:val="22"/>
        </w:rPr>
      </w:pPr>
      <w:r w:rsidRPr="0003535B">
        <w:rPr>
          <w:b/>
          <w:bCs/>
          <w:color w:val="7030A0"/>
          <w:sz w:val="22"/>
        </w:rPr>
        <w:t>NON-COMPETITIVE PROCUREMENT PROCESS</w:t>
      </w:r>
    </w:p>
    <w:tbl>
      <w:tblPr>
        <w:tblStyle w:val="TableGrid"/>
        <w:tblW w:w="18445" w:type="dxa"/>
        <w:tblLook w:val="04A0" w:firstRow="1" w:lastRow="0" w:firstColumn="1" w:lastColumn="0" w:noHBand="0" w:noVBand="1"/>
      </w:tblPr>
      <w:tblGrid>
        <w:gridCol w:w="3505"/>
        <w:gridCol w:w="10530"/>
        <w:gridCol w:w="4410"/>
      </w:tblGrid>
      <w:tr w:rsidR="00485F73" w14:paraId="6412A644" w14:textId="77777777" w:rsidTr="009C7436">
        <w:trPr>
          <w:trHeight w:val="367"/>
        </w:trPr>
        <w:tc>
          <w:tcPr>
            <w:tcW w:w="3505" w:type="dxa"/>
          </w:tcPr>
          <w:p w14:paraId="1F355216" w14:textId="77777777" w:rsidR="00485F73" w:rsidRDefault="00485F73" w:rsidP="009D1D2B">
            <w:pPr>
              <w:tabs>
                <w:tab w:val="left" w:pos="13060"/>
              </w:tabs>
              <w:spacing w:before="0" w:after="0" w:line="240" w:lineRule="auto"/>
              <w:jc w:val="center"/>
              <w:rPr>
                <w:b/>
                <w:bCs/>
                <w:color w:val="7030A0"/>
                <w:sz w:val="22"/>
              </w:rPr>
            </w:pPr>
            <w:r>
              <w:rPr>
                <w:b/>
                <w:bCs/>
                <w:sz w:val="22"/>
              </w:rPr>
              <w:t>A</w:t>
            </w:r>
            <w:r w:rsidRPr="005416ED">
              <w:rPr>
                <w:b/>
                <w:bCs/>
                <w:sz w:val="22"/>
              </w:rPr>
              <w:t>pproach</w:t>
            </w:r>
          </w:p>
        </w:tc>
        <w:tc>
          <w:tcPr>
            <w:tcW w:w="10530" w:type="dxa"/>
          </w:tcPr>
          <w:p w14:paraId="5B9AE807" w14:textId="77777777" w:rsidR="00485F73" w:rsidRDefault="00485F73" w:rsidP="009D1D2B">
            <w:pPr>
              <w:tabs>
                <w:tab w:val="left" w:pos="13060"/>
              </w:tabs>
              <w:spacing w:before="0" w:after="0" w:line="240" w:lineRule="auto"/>
              <w:jc w:val="center"/>
              <w:rPr>
                <w:b/>
                <w:bCs/>
                <w:color w:val="7030A0"/>
                <w:sz w:val="22"/>
              </w:rPr>
            </w:pPr>
            <w:r w:rsidRPr="005416ED">
              <w:rPr>
                <w:b/>
                <w:bCs/>
                <w:sz w:val="22"/>
              </w:rPr>
              <w:t>Strategy</w:t>
            </w:r>
          </w:p>
        </w:tc>
        <w:tc>
          <w:tcPr>
            <w:tcW w:w="4410" w:type="dxa"/>
          </w:tcPr>
          <w:p w14:paraId="60C44186" w14:textId="77777777" w:rsidR="00485F73" w:rsidRDefault="00485F73" w:rsidP="009D1D2B">
            <w:pPr>
              <w:tabs>
                <w:tab w:val="left" w:pos="13060"/>
              </w:tabs>
              <w:spacing w:before="0" w:after="0" w:line="240" w:lineRule="auto"/>
              <w:jc w:val="center"/>
              <w:rPr>
                <w:b/>
                <w:bCs/>
                <w:color w:val="7030A0"/>
                <w:sz w:val="22"/>
              </w:rPr>
            </w:pPr>
            <w:r w:rsidRPr="005416ED">
              <w:rPr>
                <w:b/>
                <w:bCs/>
                <w:sz w:val="22"/>
              </w:rPr>
              <w:t>Threshold</w:t>
            </w:r>
          </w:p>
        </w:tc>
      </w:tr>
      <w:tr w:rsidR="00485F73" w14:paraId="33071003" w14:textId="77777777" w:rsidTr="009C7436">
        <w:trPr>
          <w:trHeight w:val="647"/>
        </w:trPr>
        <w:tc>
          <w:tcPr>
            <w:tcW w:w="3505" w:type="dxa"/>
          </w:tcPr>
          <w:p w14:paraId="3A8170D2" w14:textId="77777777" w:rsidR="00485F73" w:rsidRPr="00701A2C" w:rsidRDefault="00485F73" w:rsidP="009D1D2B">
            <w:pPr>
              <w:tabs>
                <w:tab w:val="left" w:pos="13060"/>
              </w:tabs>
              <w:spacing w:before="0" w:after="0" w:line="240" w:lineRule="auto"/>
              <w:rPr>
                <w:b/>
                <w:bCs/>
                <w:color w:val="7030A0"/>
                <w:sz w:val="20"/>
                <w:szCs w:val="20"/>
              </w:rPr>
            </w:pPr>
            <w:r w:rsidRPr="00701A2C">
              <w:rPr>
                <w:sz w:val="20"/>
                <w:szCs w:val="20"/>
              </w:rPr>
              <w:t>Where non-application/limited tendering provisions are applicable</w:t>
            </w:r>
            <w:r w:rsidRPr="00701A2C">
              <w:rPr>
                <w:b/>
                <w:bCs/>
                <w:color w:val="7030A0"/>
                <w:sz w:val="20"/>
                <w:szCs w:val="20"/>
              </w:rPr>
              <w:t xml:space="preserve"> </w:t>
            </w:r>
          </w:p>
        </w:tc>
        <w:tc>
          <w:tcPr>
            <w:tcW w:w="10530" w:type="dxa"/>
            <w:tcBorders>
              <w:bottom w:val="single" w:sz="4" w:space="0" w:color="auto"/>
            </w:tcBorders>
          </w:tcPr>
          <w:p w14:paraId="12D1F445" w14:textId="77777777" w:rsidR="00485F73" w:rsidRPr="00701A2C" w:rsidRDefault="00485F73" w:rsidP="009D1D2B">
            <w:pPr>
              <w:tabs>
                <w:tab w:val="left" w:pos="13060"/>
              </w:tabs>
              <w:spacing w:before="0" w:after="0" w:line="240" w:lineRule="auto"/>
              <w:rPr>
                <w:b/>
                <w:bCs/>
                <w:color w:val="7030A0"/>
                <w:sz w:val="20"/>
                <w:szCs w:val="20"/>
              </w:rPr>
            </w:pPr>
            <w:r w:rsidRPr="00701A2C">
              <w:rPr>
                <w:sz w:val="20"/>
                <w:szCs w:val="20"/>
              </w:rPr>
              <w:t>Leverage trade agreements’ non-application/limited tendering opportunities to give preference to an Ontario business wherever feasible.</w:t>
            </w:r>
          </w:p>
        </w:tc>
        <w:tc>
          <w:tcPr>
            <w:tcW w:w="4410" w:type="dxa"/>
            <w:tcBorders>
              <w:bottom w:val="single" w:sz="4" w:space="0" w:color="auto"/>
            </w:tcBorders>
          </w:tcPr>
          <w:p w14:paraId="1B94B597" w14:textId="77777777" w:rsidR="00485F73" w:rsidRPr="00701A2C" w:rsidRDefault="00485F73" w:rsidP="009D1D2B">
            <w:pPr>
              <w:tabs>
                <w:tab w:val="left" w:pos="13060"/>
              </w:tabs>
              <w:spacing w:before="0" w:after="0" w:line="240" w:lineRule="auto"/>
              <w:rPr>
                <w:b/>
                <w:bCs/>
                <w:color w:val="7030A0"/>
                <w:sz w:val="20"/>
                <w:szCs w:val="20"/>
              </w:rPr>
            </w:pPr>
            <w:r w:rsidRPr="00701A2C">
              <w:rPr>
                <w:sz w:val="20"/>
                <w:szCs w:val="20"/>
              </w:rPr>
              <w:t>Refer to applicable trade agreements</w:t>
            </w:r>
          </w:p>
        </w:tc>
      </w:tr>
    </w:tbl>
    <w:p w14:paraId="042E84E5" w14:textId="0AF1CCA9" w:rsidR="005F12CE" w:rsidRPr="00517B6D" w:rsidRDefault="00517B6D" w:rsidP="006F3345">
      <w:pPr>
        <w:pStyle w:val="Heading2"/>
      </w:pPr>
      <w:bookmarkStart w:id="234" w:name="_Toc174975064"/>
      <w:r w:rsidRPr="000202DB">
        <w:lastRenderedPageBreak/>
        <w:t>A</w:t>
      </w:r>
      <w:r w:rsidRPr="009459A2">
        <w:t xml:space="preserve">ppendix </w:t>
      </w:r>
      <w:r>
        <w:t>E</w:t>
      </w:r>
      <w:r w:rsidRPr="009459A2">
        <w:t xml:space="preserve">: </w:t>
      </w:r>
      <w:r>
        <w:t xml:space="preserve">BOBI Strategy At a Glance for the </w:t>
      </w:r>
      <w:r w:rsidR="00A95E30">
        <w:t>BPS</w:t>
      </w:r>
      <w:r>
        <w:t xml:space="preserve"> Buyers</w:t>
      </w:r>
      <w:bookmarkEnd w:id="234"/>
      <w:r>
        <w:t xml:space="preserve"> </w:t>
      </w:r>
    </w:p>
    <w:p w14:paraId="2F968E70" w14:textId="79D6AFB1" w:rsidR="006D6C15" w:rsidRDefault="006D6C15" w:rsidP="006F2521">
      <w:pPr>
        <w:tabs>
          <w:tab w:val="left" w:pos="13060"/>
        </w:tabs>
        <w:spacing w:after="240" w:line="240" w:lineRule="auto"/>
        <w:rPr>
          <w:b/>
          <w:bCs/>
          <w:color w:val="7030A0"/>
          <w:sz w:val="22"/>
        </w:rPr>
      </w:pPr>
      <w:r w:rsidRPr="005416ED">
        <w:rPr>
          <w:b/>
          <w:bCs/>
          <w:color w:val="7030A0"/>
          <w:sz w:val="22"/>
        </w:rPr>
        <w:t>INVITATIONAL PROCUREMENT PROCESS</w:t>
      </w:r>
    </w:p>
    <w:tbl>
      <w:tblPr>
        <w:tblStyle w:val="TableGrid"/>
        <w:tblW w:w="18431" w:type="dxa"/>
        <w:tblLook w:val="04A0" w:firstRow="1" w:lastRow="0" w:firstColumn="1" w:lastColumn="0" w:noHBand="0" w:noVBand="1"/>
      </w:tblPr>
      <w:tblGrid>
        <w:gridCol w:w="3499"/>
        <w:gridCol w:w="10526"/>
        <w:gridCol w:w="4406"/>
      </w:tblGrid>
      <w:tr w:rsidR="006D6C15" w14:paraId="785FB5F0" w14:textId="77777777" w:rsidTr="004A1491">
        <w:trPr>
          <w:trHeight w:val="405"/>
        </w:trPr>
        <w:tc>
          <w:tcPr>
            <w:tcW w:w="3499" w:type="dxa"/>
          </w:tcPr>
          <w:p w14:paraId="3DE33B60" w14:textId="77777777" w:rsidR="006D6C15" w:rsidRDefault="006D6C15" w:rsidP="009D1D2B">
            <w:pPr>
              <w:tabs>
                <w:tab w:val="left" w:pos="13060"/>
              </w:tabs>
              <w:spacing w:before="0" w:after="0" w:line="240" w:lineRule="auto"/>
              <w:jc w:val="center"/>
              <w:rPr>
                <w:b/>
                <w:bCs/>
                <w:color w:val="7030A0"/>
                <w:sz w:val="22"/>
              </w:rPr>
            </w:pPr>
            <w:r>
              <w:rPr>
                <w:b/>
                <w:bCs/>
                <w:sz w:val="22"/>
              </w:rPr>
              <w:t>A</w:t>
            </w:r>
            <w:r w:rsidRPr="005416ED">
              <w:rPr>
                <w:b/>
                <w:bCs/>
                <w:sz w:val="22"/>
              </w:rPr>
              <w:t>pproach</w:t>
            </w:r>
          </w:p>
        </w:tc>
        <w:tc>
          <w:tcPr>
            <w:tcW w:w="10526" w:type="dxa"/>
          </w:tcPr>
          <w:p w14:paraId="51699FCD" w14:textId="77777777" w:rsidR="006D6C15" w:rsidRDefault="006D6C15" w:rsidP="009D1D2B">
            <w:pPr>
              <w:tabs>
                <w:tab w:val="left" w:pos="13060"/>
              </w:tabs>
              <w:spacing w:before="0" w:after="0" w:line="240" w:lineRule="auto"/>
              <w:jc w:val="center"/>
              <w:rPr>
                <w:b/>
                <w:bCs/>
                <w:color w:val="7030A0"/>
                <w:sz w:val="22"/>
              </w:rPr>
            </w:pPr>
            <w:r w:rsidRPr="005416ED">
              <w:rPr>
                <w:b/>
                <w:bCs/>
                <w:sz w:val="22"/>
              </w:rPr>
              <w:t>Strategy</w:t>
            </w:r>
          </w:p>
        </w:tc>
        <w:tc>
          <w:tcPr>
            <w:tcW w:w="4406" w:type="dxa"/>
          </w:tcPr>
          <w:p w14:paraId="5C2451B7" w14:textId="77777777" w:rsidR="006D6C15" w:rsidRDefault="006D6C15" w:rsidP="009D1D2B">
            <w:pPr>
              <w:tabs>
                <w:tab w:val="left" w:pos="13060"/>
              </w:tabs>
              <w:spacing w:before="0" w:after="0" w:line="240" w:lineRule="auto"/>
              <w:jc w:val="center"/>
              <w:rPr>
                <w:b/>
                <w:bCs/>
                <w:color w:val="7030A0"/>
                <w:sz w:val="22"/>
              </w:rPr>
            </w:pPr>
            <w:r w:rsidRPr="005416ED">
              <w:rPr>
                <w:b/>
                <w:bCs/>
                <w:sz w:val="22"/>
              </w:rPr>
              <w:t>Threshold</w:t>
            </w:r>
            <w:r w:rsidRPr="005416ED">
              <w:rPr>
                <w:rStyle w:val="FootnoteReference"/>
                <w:b/>
                <w:bCs/>
                <w:sz w:val="22"/>
              </w:rPr>
              <w:footnoteReference w:id="7"/>
            </w:r>
          </w:p>
        </w:tc>
      </w:tr>
      <w:tr w:rsidR="00322C4E" w14:paraId="0AEF4808" w14:textId="77777777" w:rsidTr="004A1491">
        <w:trPr>
          <w:trHeight w:val="1094"/>
        </w:trPr>
        <w:tc>
          <w:tcPr>
            <w:tcW w:w="3499" w:type="dxa"/>
          </w:tcPr>
          <w:p w14:paraId="0AD3BDF0" w14:textId="77777777" w:rsidR="00322C4E" w:rsidRPr="001D0931" w:rsidRDefault="00322C4E" w:rsidP="00322C4E">
            <w:pPr>
              <w:tabs>
                <w:tab w:val="left" w:pos="13060"/>
              </w:tabs>
              <w:spacing w:before="0" w:after="0" w:line="240" w:lineRule="auto"/>
              <w:rPr>
                <w:b/>
                <w:bCs/>
                <w:color w:val="7030A0"/>
                <w:sz w:val="20"/>
                <w:szCs w:val="20"/>
              </w:rPr>
            </w:pPr>
            <w:r w:rsidRPr="001D0931">
              <w:rPr>
                <w:sz w:val="20"/>
                <w:szCs w:val="20"/>
              </w:rPr>
              <w:t>Below domestic trade agreement thresholds</w:t>
            </w:r>
          </w:p>
        </w:tc>
        <w:tc>
          <w:tcPr>
            <w:tcW w:w="10526" w:type="dxa"/>
          </w:tcPr>
          <w:p w14:paraId="782A5C80" w14:textId="5056ECB7" w:rsidR="00322C4E" w:rsidRPr="001D0931" w:rsidRDefault="00322C4E" w:rsidP="00322C4E">
            <w:pPr>
              <w:tabs>
                <w:tab w:val="left" w:pos="13060"/>
              </w:tabs>
              <w:spacing w:before="0" w:after="0" w:line="240" w:lineRule="auto"/>
              <w:rPr>
                <w:b/>
                <w:bCs/>
                <w:color w:val="7030A0"/>
                <w:sz w:val="20"/>
                <w:szCs w:val="20"/>
              </w:rPr>
            </w:pPr>
            <w:r w:rsidRPr="001D0931">
              <w:rPr>
                <w:sz w:val="20"/>
                <w:szCs w:val="20"/>
              </w:rPr>
              <w:t xml:space="preserve">Government entities must give preference to Ontario businesses. Buyers should invite only Ontario businesses wherever possible. If not possible then give a 10% evaluation advantage to the Ontario businesses that submit a bid. </w:t>
            </w:r>
          </w:p>
        </w:tc>
        <w:tc>
          <w:tcPr>
            <w:tcW w:w="4406" w:type="dxa"/>
          </w:tcPr>
          <w:p w14:paraId="3DE2F20E" w14:textId="77777777" w:rsidR="001D0931" w:rsidRPr="001D0931" w:rsidRDefault="001D0931" w:rsidP="001D0931">
            <w:pPr>
              <w:spacing w:before="0" w:after="0" w:line="240" w:lineRule="auto"/>
              <w:rPr>
                <w:sz w:val="20"/>
                <w:szCs w:val="20"/>
              </w:rPr>
            </w:pPr>
            <w:r w:rsidRPr="001D0931">
              <w:rPr>
                <w:sz w:val="20"/>
                <w:szCs w:val="20"/>
              </w:rPr>
              <w:t>Goods &amp; Services - less than $121,200</w:t>
            </w:r>
          </w:p>
          <w:p w14:paraId="32A8A5D9" w14:textId="5AD87A91" w:rsidR="00322C4E" w:rsidRPr="001D0931" w:rsidRDefault="00322C4E" w:rsidP="00322C4E">
            <w:pPr>
              <w:tabs>
                <w:tab w:val="left" w:pos="13060"/>
              </w:tabs>
              <w:spacing w:before="0" w:after="0" w:line="240" w:lineRule="auto"/>
              <w:jc w:val="center"/>
              <w:rPr>
                <w:b/>
                <w:bCs/>
                <w:color w:val="7030A0"/>
                <w:sz w:val="20"/>
                <w:szCs w:val="20"/>
              </w:rPr>
            </w:pPr>
          </w:p>
        </w:tc>
      </w:tr>
    </w:tbl>
    <w:p w14:paraId="307D6181" w14:textId="77777777" w:rsidR="005F7F79" w:rsidRDefault="005F7F79" w:rsidP="005F7F79">
      <w:pPr>
        <w:spacing w:before="360" w:after="0"/>
        <w:rPr>
          <w:b/>
          <w:bCs/>
          <w:color w:val="7030A0"/>
          <w:sz w:val="22"/>
        </w:rPr>
      </w:pPr>
      <w:r w:rsidRPr="005416ED">
        <w:rPr>
          <w:b/>
          <w:bCs/>
          <w:color w:val="7030A0"/>
          <w:sz w:val="22"/>
        </w:rPr>
        <w:t>OPEN-COMPETITIVE PROCUREMENT PROCESS</w:t>
      </w:r>
    </w:p>
    <w:tbl>
      <w:tblPr>
        <w:tblStyle w:val="TableGrid"/>
        <w:tblW w:w="18431" w:type="dxa"/>
        <w:tblLook w:val="04A0" w:firstRow="1" w:lastRow="0" w:firstColumn="1" w:lastColumn="0" w:noHBand="0" w:noVBand="1"/>
      </w:tblPr>
      <w:tblGrid>
        <w:gridCol w:w="3499"/>
        <w:gridCol w:w="10526"/>
        <w:gridCol w:w="4406"/>
      </w:tblGrid>
      <w:tr w:rsidR="005F7F79" w14:paraId="6B34049A" w14:textId="77777777" w:rsidTr="00BB0C88">
        <w:trPr>
          <w:trHeight w:val="405"/>
        </w:trPr>
        <w:tc>
          <w:tcPr>
            <w:tcW w:w="3499" w:type="dxa"/>
          </w:tcPr>
          <w:p w14:paraId="55124D95" w14:textId="77777777" w:rsidR="005F7F79" w:rsidRDefault="005F7F79" w:rsidP="009D1D2B">
            <w:pPr>
              <w:tabs>
                <w:tab w:val="left" w:pos="13060"/>
              </w:tabs>
              <w:spacing w:before="0" w:after="0" w:line="240" w:lineRule="auto"/>
              <w:jc w:val="center"/>
              <w:rPr>
                <w:b/>
                <w:bCs/>
                <w:color w:val="7030A0"/>
                <w:sz w:val="22"/>
              </w:rPr>
            </w:pPr>
            <w:r>
              <w:rPr>
                <w:b/>
                <w:bCs/>
                <w:sz w:val="22"/>
              </w:rPr>
              <w:t>A</w:t>
            </w:r>
            <w:r w:rsidRPr="005416ED">
              <w:rPr>
                <w:b/>
                <w:bCs/>
                <w:sz w:val="22"/>
              </w:rPr>
              <w:t>pproach</w:t>
            </w:r>
          </w:p>
        </w:tc>
        <w:tc>
          <w:tcPr>
            <w:tcW w:w="10526" w:type="dxa"/>
          </w:tcPr>
          <w:p w14:paraId="3A371E0D" w14:textId="77777777" w:rsidR="005F7F79" w:rsidRDefault="005F7F79" w:rsidP="009D1D2B">
            <w:pPr>
              <w:tabs>
                <w:tab w:val="left" w:pos="13060"/>
              </w:tabs>
              <w:spacing w:before="0" w:after="0" w:line="240" w:lineRule="auto"/>
              <w:jc w:val="center"/>
              <w:rPr>
                <w:b/>
                <w:bCs/>
                <w:color w:val="7030A0"/>
                <w:sz w:val="22"/>
              </w:rPr>
            </w:pPr>
            <w:r w:rsidRPr="005416ED">
              <w:rPr>
                <w:b/>
                <w:bCs/>
                <w:sz w:val="22"/>
              </w:rPr>
              <w:t>Strategy</w:t>
            </w:r>
          </w:p>
        </w:tc>
        <w:tc>
          <w:tcPr>
            <w:tcW w:w="4406" w:type="dxa"/>
          </w:tcPr>
          <w:p w14:paraId="6F88B927" w14:textId="77777777" w:rsidR="005F7F79" w:rsidRDefault="005F7F79" w:rsidP="009D1D2B">
            <w:pPr>
              <w:tabs>
                <w:tab w:val="left" w:pos="13060"/>
              </w:tabs>
              <w:spacing w:before="0" w:after="0" w:line="240" w:lineRule="auto"/>
              <w:jc w:val="center"/>
              <w:rPr>
                <w:b/>
                <w:bCs/>
                <w:color w:val="7030A0"/>
                <w:sz w:val="22"/>
              </w:rPr>
            </w:pPr>
            <w:r w:rsidRPr="005416ED">
              <w:rPr>
                <w:b/>
                <w:bCs/>
                <w:sz w:val="22"/>
              </w:rPr>
              <w:t>Threshold</w:t>
            </w:r>
          </w:p>
        </w:tc>
      </w:tr>
      <w:tr w:rsidR="005F7F79" w14:paraId="05C184EB" w14:textId="77777777" w:rsidTr="00BB0C88">
        <w:tc>
          <w:tcPr>
            <w:tcW w:w="3499" w:type="dxa"/>
          </w:tcPr>
          <w:p w14:paraId="45A17677" w14:textId="6885C775" w:rsidR="005F7F79" w:rsidRPr="00FD624C" w:rsidRDefault="00C5692C" w:rsidP="009D1D2B">
            <w:pPr>
              <w:tabs>
                <w:tab w:val="left" w:pos="13060"/>
              </w:tabs>
              <w:spacing w:before="0" w:after="0" w:line="240" w:lineRule="auto"/>
              <w:rPr>
                <w:b/>
                <w:bCs/>
                <w:color w:val="7030A0"/>
                <w:sz w:val="20"/>
                <w:szCs w:val="20"/>
              </w:rPr>
            </w:pPr>
            <w:r w:rsidRPr="00FD624C">
              <w:rPr>
                <w:sz w:val="20"/>
                <w:szCs w:val="20"/>
              </w:rPr>
              <w:t>Below international trade agreement thresholds but above domestic trade agreement thresholds</w:t>
            </w:r>
          </w:p>
        </w:tc>
        <w:tc>
          <w:tcPr>
            <w:tcW w:w="10526" w:type="dxa"/>
            <w:tcBorders>
              <w:bottom w:val="single" w:sz="4" w:space="0" w:color="auto"/>
            </w:tcBorders>
          </w:tcPr>
          <w:p w14:paraId="5E4A8A12" w14:textId="18784C59" w:rsidR="005F7F79" w:rsidRPr="00FD624C" w:rsidRDefault="000779FC" w:rsidP="009D1D2B">
            <w:pPr>
              <w:tabs>
                <w:tab w:val="left" w:pos="13060"/>
              </w:tabs>
              <w:spacing w:before="0" w:after="0" w:line="240" w:lineRule="auto"/>
              <w:rPr>
                <w:b/>
                <w:bCs/>
                <w:color w:val="7030A0"/>
                <w:sz w:val="20"/>
                <w:szCs w:val="20"/>
              </w:rPr>
            </w:pPr>
            <w:r w:rsidRPr="00FD624C">
              <w:rPr>
                <w:sz w:val="20"/>
                <w:szCs w:val="20"/>
              </w:rPr>
              <w:t>Government entities must give preference to Canadian businesses. If possible, limit the procurement opportunity to Canadian businesses and if not possible then give a 10% evaluation advantage to Canadian businesses who submit a bid.</w:t>
            </w:r>
          </w:p>
        </w:tc>
        <w:tc>
          <w:tcPr>
            <w:tcW w:w="4406" w:type="dxa"/>
            <w:tcBorders>
              <w:bottom w:val="single" w:sz="4" w:space="0" w:color="auto"/>
            </w:tcBorders>
          </w:tcPr>
          <w:p w14:paraId="47F10E61" w14:textId="785AA98D" w:rsidR="005F7F79" w:rsidRPr="00FD624C" w:rsidRDefault="00375DFA" w:rsidP="009D1D2B">
            <w:pPr>
              <w:tabs>
                <w:tab w:val="left" w:pos="13060"/>
              </w:tabs>
              <w:spacing w:before="0" w:after="0" w:line="240" w:lineRule="auto"/>
              <w:rPr>
                <w:b/>
                <w:bCs/>
                <w:color w:val="7030A0"/>
                <w:sz w:val="20"/>
                <w:szCs w:val="20"/>
              </w:rPr>
            </w:pPr>
            <w:r w:rsidRPr="00FD624C">
              <w:rPr>
                <w:sz w:val="20"/>
                <w:szCs w:val="20"/>
              </w:rPr>
              <w:t>Goods &amp; Services – between 121,200 and $353,300</w:t>
            </w:r>
          </w:p>
        </w:tc>
      </w:tr>
      <w:tr w:rsidR="005F7F79" w14:paraId="43625180" w14:textId="77777777" w:rsidTr="00BB0C88">
        <w:tc>
          <w:tcPr>
            <w:tcW w:w="3499" w:type="dxa"/>
            <w:vMerge w:val="restart"/>
            <w:tcBorders>
              <w:top w:val="single" w:sz="4" w:space="0" w:color="auto"/>
              <w:left w:val="single" w:sz="4" w:space="0" w:color="auto"/>
              <w:right w:val="single" w:sz="4" w:space="0" w:color="auto"/>
            </w:tcBorders>
          </w:tcPr>
          <w:p w14:paraId="6C14F180" w14:textId="2AD61E00" w:rsidR="005F7F79" w:rsidRPr="00FD624C" w:rsidRDefault="00D8300D" w:rsidP="009D1D2B">
            <w:pPr>
              <w:tabs>
                <w:tab w:val="left" w:pos="13060"/>
              </w:tabs>
              <w:spacing w:before="0" w:after="0" w:line="240" w:lineRule="auto"/>
              <w:rPr>
                <w:b/>
                <w:bCs/>
                <w:color w:val="7030A0"/>
                <w:sz w:val="20"/>
                <w:szCs w:val="20"/>
              </w:rPr>
            </w:pPr>
            <w:r w:rsidRPr="00FD624C">
              <w:rPr>
                <w:sz w:val="20"/>
                <w:szCs w:val="20"/>
              </w:rPr>
              <w:t>Above International trade agreement thresholds</w:t>
            </w:r>
          </w:p>
        </w:tc>
        <w:tc>
          <w:tcPr>
            <w:tcW w:w="10526" w:type="dxa"/>
            <w:tcBorders>
              <w:top w:val="single" w:sz="4" w:space="0" w:color="auto"/>
              <w:left w:val="single" w:sz="4" w:space="0" w:color="auto"/>
              <w:bottom w:val="single" w:sz="4" w:space="0" w:color="auto"/>
              <w:right w:val="single" w:sz="4" w:space="0" w:color="auto"/>
            </w:tcBorders>
          </w:tcPr>
          <w:p w14:paraId="7A81BC4C" w14:textId="3CF6F060" w:rsidR="005F7F79" w:rsidRPr="00FD624C" w:rsidRDefault="0008739E" w:rsidP="009D1D2B">
            <w:pPr>
              <w:tabs>
                <w:tab w:val="left" w:pos="13060"/>
              </w:tabs>
              <w:spacing w:before="0" w:after="0" w:line="240" w:lineRule="auto"/>
              <w:rPr>
                <w:b/>
                <w:bCs/>
                <w:color w:val="7030A0"/>
                <w:sz w:val="20"/>
                <w:szCs w:val="20"/>
              </w:rPr>
            </w:pPr>
            <w:r w:rsidRPr="00FD624C">
              <w:rPr>
                <w:sz w:val="20"/>
                <w:szCs w:val="20"/>
              </w:rPr>
              <w:t>Government entities must give preference to businesses of Ontario’s trading partners.</w:t>
            </w:r>
          </w:p>
        </w:tc>
        <w:tc>
          <w:tcPr>
            <w:tcW w:w="4406" w:type="dxa"/>
            <w:tcBorders>
              <w:top w:val="single" w:sz="4" w:space="0" w:color="auto"/>
              <w:left w:val="single" w:sz="4" w:space="0" w:color="auto"/>
              <w:bottom w:val="single" w:sz="4" w:space="0" w:color="auto"/>
              <w:right w:val="single" w:sz="4" w:space="0" w:color="auto"/>
            </w:tcBorders>
          </w:tcPr>
          <w:p w14:paraId="4EC70046" w14:textId="2A99CA25" w:rsidR="005F7F79" w:rsidRPr="00FD624C" w:rsidRDefault="001B5561" w:rsidP="009D1D2B">
            <w:pPr>
              <w:tabs>
                <w:tab w:val="left" w:pos="13060"/>
              </w:tabs>
              <w:spacing w:before="0" w:after="0" w:line="240" w:lineRule="auto"/>
              <w:rPr>
                <w:b/>
                <w:bCs/>
                <w:color w:val="7030A0"/>
                <w:sz w:val="20"/>
                <w:szCs w:val="20"/>
              </w:rPr>
            </w:pPr>
            <w:r w:rsidRPr="00FD624C">
              <w:rPr>
                <w:sz w:val="20"/>
                <w:szCs w:val="20"/>
              </w:rPr>
              <w:t>Goods &amp; Services – between 121,200 and $353,300</w:t>
            </w:r>
          </w:p>
        </w:tc>
      </w:tr>
      <w:tr w:rsidR="005F7F79" w14:paraId="06A14C17" w14:textId="77777777" w:rsidTr="00BB0C88">
        <w:tc>
          <w:tcPr>
            <w:tcW w:w="3499" w:type="dxa"/>
            <w:vMerge/>
            <w:tcBorders>
              <w:left w:val="single" w:sz="4" w:space="0" w:color="auto"/>
              <w:right w:val="single" w:sz="4" w:space="0" w:color="auto"/>
            </w:tcBorders>
          </w:tcPr>
          <w:p w14:paraId="2DDD6DB3" w14:textId="77777777" w:rsidR="005F7F79" w:rsidRPr="00FD624C" w:rsidRDefault="005F7F79" w:rsidP="009D1D2B">
            <w:pPr>
              <w:tabs>
                <w:tab w:val="left" w:pos="13060"/>
              </w:tabs>
              <w:spacing w:before="0" w:after="0" w:line="240" w:lineRule="auto"/>
              <w:rPr>
                <w:sz w:val="20"/>
                <w:szCs w:val="20"/>
              </w:rPr>
            </w:pPr>
          </w:p>
        </w:tc>
        <w:tc>
          <w:tcPr>
            <w:tcW w:w="10526" w:type="dxa"/>
            <w:tcBorders>
              <w:top w:val="single" w:sz="4" w:space="0" w:color="auto"/>
              <w:left w:val="single" w:sz="4" w:space="0" w:color="auto"/>
              <w:bottom w:val="single" w:sz="4" w:space="0" w:color="auto"/>
              <w:right w:val="single" w:sz="4" w:space="0" w:color="auto"/>
            </w:tcBorders>
          </w:tcPr>
          <w:p w14:paraId="22C62978" w14:textId="277AA035" w:rsidR="005F7F79" w:rsidRPr="00FD624C" w:rsidRDefault="00DA1005" w:rsidP="009D1D2B">
            <w:pPr>
              <w:tabs>
                <w:tab w:val="left" w:pos="13060"/>
              </w:tabs>
              <w:spacing w:before="0" w:after="0" w:line="240" w:lineRule="auto"/>
              <w:rPr>
                <w:b/>
                <w:bCs/>
                <w:color w:val="7030A0"/>
                <w:sz w:val="20"/>
                <w:szCs w:val="20"/>
              </w:rPr>
            </w:pPr>
            <w:r w:rsidRPr="00FD624C">
              <w:rPr>
                <w:sz w:val="20"/>
                <w:szCs w:val="20"/>
              </w:rPr>
              <w:t>Apply weighted domestic criteria in procurement evaluations</w:t>
            </w:r>
          </w:p>
        </w:tc>
        <w:tc>
          <w:tcPr>
            <w:tcW w:w="4406" w:type="dxa"/>
            <w:tcBorders>
              <w:top w:val="single" w:sz="4" w:space="0" w:color="auto"/>
              <w:left w:val="single" w:sz="4" w:space="0" w:color="auto"/>
              <w:bottom w:val="single" w:sz="4" w:space="0" w:color="auto"/>
              <w:right w:val="single" w:sz="4" w:space="0" w:color="auto"/>
            </w:tcBorders>
          </w:tcPr>
          <w:p w14:paraId="151BAA29" w14:textId="77777777" w:rsidR="00550085" w:rsidRPr="00FD624C" w:rsidRDefault="00550085" w:rsidP="00550085">
            <w:pPr>
              <w:spacing w:before="0" w:after="0" w:line="240" w:lineRule="auto"/>
              <w:rPr>
                <w:sz w:val="20"/>
                <w:szCs w:val="20"/>
              </w:rPr>
            </w:pPr>
            <w:r w:rsidRPr="00FD624C">
              <w:rPr>
                <w:sz w:val="20"/>
                <w:szCs w:val="20"/>
              </w:rPr>
              <w:t xml:space="preserve">Goods &amp; Services - greater than $353,300 </w:t>
            </w:r>
          </w:p>
          <w:p w14:paraId="3979899E" w14:textId="77777777" w:rsidR="005F7F79" w:rsidRPr="00FD624C" w:rsidRDefault="005F7F79" w:rsidP="009D1D2B">
            <w:pPr>
              <w:tabs>
                <w:tab w:val="left" w:pos="13060"/>
              </w:tabs>
              <w:spacing w:before="0" w:after="0" w:line="240" w:lineRule="auto"/>
              <w:rPr>
                <w:b/>
                <w:bCs/>
                <w:color w:val="7030A0"/>
                <w:sz w:val="20"/>
                <w:szCs w:val="20"/>
              </w:rPr>
            </w:pPr>
          </w:p>
        </w:tc>
      </w:tr>
      <w:tr w:rsidR="005F7F79" w14:paraId="409148A2" w14:textId="77777777" w:rsidTr="00BB0C88">
        <w:tc>
          <w:tcPr>
            <w:tcW w:w="3499" w:type="dxa"/>
            <w:vMerge/>
            <w:tcBorders>
              <w:left w:val="single" w:sz="4" w:space="0" w:color="auto"/>
              <w:right w:val="single" w:sz="4" w:space="0" w:color="auto"/>
            </w:tcBorders>
          </w:tcPr>
          <w:p w14:paraId="74F0D216" w14:textId="77777777" w:rsidR="005F7F79" w:rsidRPr="00FD624C" w:rsidRDefault="005F7F79" w:rsidP="009D1D2B">
            <w:pPr>
              <w:tabs>
                <w:tab w:val="left" w:pos="13060"/>
              </w:tabs>
              <w:spacing w:before="0" w:after="0" w:line="240" w:lineRule="auto"/>
              <w:rPr>
                <w:sz w:val="20"/>
                <w:szCs w:val="20"/>
              </w:rPr>
            </w:pPr>
          </w:p>
        </w:tc>
        <w:tc>
          <w:tcPr>
            <w:tcW w:w="10526" w:type="dxa"/>
            <w:tcBorders>
              <w:top w:val="single" w:sz="4" w:space="0" w:color="auto"/>
              <w:left w:val="single" w:sz="4" w:space="0" w:color="auto"/>
              <w:right w:val="single" w:sz="4" w:space="0" w:color="auto"/>
            </w:tcBorders>
          </w:tcPr>
          <w:p w14:paraId="55B89DFC" w14:textId="2326DDB9" w:rsidR="005F7F79" w:rsidRPr="00FD624C" w:rsidRDefault="00CF7C7A" w:rsidP="009D1D2B">
            <w:pPr>
              <w:tabs>
                <w:tab w:val="left" w:pos="13060"/>
              </w:tabs>
              <w:spacing w:before="0" w:after="0" w:line="240" w:lineRule="auto"/>
              <w:rPr>
                <w:b/>
                <w:bCs/>
                <w:color w:val="7030A0"/>
                <w:sz w:val="20"/>
                <w:szCs w:val="20"/>
              </w:rPr>
            </w:pPr>
            <w:r w:rsidRPr="00FD624C">
              <w:rPr>
                <w:sz w:val="20"/>
                <w:szCs w:val="20"/>
              </w:rPr>
              <w:t>For procurements with an estimated value of $50 million or more, in specified sectors include an Industrial Regional and Technology Benefit (IRTB) requirement for vendors</w:t>
            </w:r>
          </w:p>
        </w:tc>
        <w:tc>
          <w:tcPr>
            <w:tcW w:w="4406" w:type="dxa"/>
            <w:tcBorders>
              <w:top w:val="single" w:sz="4" w:space="0" w:color="auto"/>
              <w:left w:val="single" w:sz="4" w:space="0" w:color="auto"/>
              <w:bottom w:val="single" w:sz="4" w:space="0" w:color="auto"/>
              <w:right w:val="single" w:sz="4" w:space="0" w:color="auto"/>
            </w:tcBorders>
          </w:tcPr>
          <w:p w14:paraId="2691C076" w14:textId="33D8A1FA" w:rsidR="005F7F79" w:rsidRPr="00FD624C" w:rsidRDefault="00FD624C" w:rsidP="009D1D2B">
            <w:pPr>
              <w:tabs>
                <w:tab w:val="left" w:pos="13060"/>
              </w:tabs>
              <w:spacing w:before="0" w:after="0" w:line="240" w:lineRule="auto"/>
              <w:rPr>
                <w:b/>
                <w:bCs/>
                <w:color w:val="7030A0"/>
                <w:sz w:val="20"/>
                <w:szCs w:val="20"/>
              </w:rPr>
            </w:pPr>
            <w:r w:rsidRPr="00FD624C">
              <w:rPr>
                <w:sz w:val="20"/>
                <w:szCs w:val="20"/>
              </w:rPr>
              <w:t>$50M or more</w:t>
            </w:r>
          </w:p>
        </w:tc>
      </w:tr>
    </w:tbl>
    <w:p w14:paraId="57D401AF" w14:textId="77777777" w:rsidR="00792D80" w:rsidRPr="0003535B" w:rsidRDefault="00792D80" w:rsidP="00792D80">
      <w:pPr>
        <w:spacing w:before="360" w:after="0"/>
        <w:rPr>
          <w:b/>
          <w:bCs/>
          <w:color w:val="7030A0"/>
          <w:sz w:val="22"/>
        </w:rPr>
      </w:pPr>
      <w:r w:rsidRPr="0003535B">
        <w:rPr>
          <w:b/>
          <w:bCs/>
          <w:color w:val="7030A0"/>
          <w:sz w:val="22"/>
        </w:rPr>
        <w:t>NON-COMPETITIVE PROCUREMENT PROCESS</w:t>
      </w:r>
    </w:p>
    <w:tbl>
      <w:tblPr>
        <w:tblStyle w:val="TableGrid"/>
        <w:tblW w:w="18431" w:type="dxa"/>
        <w:tblLook w:val="04A0" w:firstRow="1" w:lastRow="0" w:firstColumn="1" w:lastColumn="0" w:noHBand="0" w:noVBand="1"/>
      </w:tblPr>
      <w:tblGrid>
        <w:gridCol w:w="3499"/>
        <w:gridCol w:w="10526"/>
        <w:gridCol w:w="4406"/>
      </w:tblGrid>
      <w:tr w:rsidR="008725D3" w14:paraId="39A06068" w14:textId="77777777" w:rsidTr="00FB0A4B">
        <w:trPr>
          <w:trHeight w:val="405"/>
        </w:trPr>
        <w:tc>
          <w:tcPr>
            <w:tcW w:w="3499" w:type="dxa"/>
          </w:tcPr>
          <w:p w14:paraId="0DBF187E" w14:textId="77777777" w:rsidR="008725D3" w:rsidRDefault="008725D3" w:rsidP="009D1D2B">
            <w:pPr>
              <w:tabs>
                <w:tab w:val="left" w:pos="13060"/>
              </w:tabs>
              <w:spacing w:before="0" w:after="0" w:line="240" w:lineRule="auto"/>
              <w:jc w:val="center"/>
              <w:rPr>
                <w:b/>
                <w:bCs/>
                <w:color w:val="7030A0"/>
                <w:sz w:val="22"/>
              </w:rPr>
            </w:pPr>
            <w:r>
              <w:rPr>
                <w:b/>
                <w:bCs/>
                <w:sz w:val="22"/>
              </w:rPr>
              <w:t>A</w:t>
            </w:r>
            <w:r w:rsidRPr="005416ED">
              <w:rPr>
                <w:b/>
                <w:bCs/>
                <w:sz w:val="22"/>
              </w:rPr>
              <w:t>pproach</w:t>
            </w:r>
          </w:p>
        </w:tc>
        <w:tc>
          <w:tcPr>
            <w:tcW w:w="10526" w:type="dxa"/>
          </w:tcPr>
          <w:p w14:paraId="771B5138" w14:textId="77777777" w:rsidR="008725D3" w:rsidRDefault="008725D3" w:rsidP="009D1D2B">
            <w:pPr>
              <w:tabs>
                <w:tab w:val="left" w:pos="13060"/>
              </w:tabs>
              <w:spacing w:before="0" w:after="0" w:line="240" w:lineRule="auto"/>
              <w:jc w:val="center"/>
              <w:rPr>
                <w:b/>
                <w:bCs/>
                <w:color w:val="7030A0"/>
                <w:sz w:val="22"/>
              </w:rPr>
            </w:pPr>
            <w:r w:rsidRPr="005416ED">
              <w:rPr>
                <w:b/>
                <w:bCs/>
                <w:sz w:val="22"/>
              </w:rPr>
              <w:t>Strategy</w:t>
            </w:r>
          </w:p>
        </w:tc>
        <w:tc>
          <w:tcPr>
            <w:tcW w:w="4406" w:type="dxa"/>
          </w:tcPr>
          <w:p w14:paraId="6E07BB11" w14:textId="77777777" w:rsidR="008725D3" w:rsidRDefault="008725D3" w:rsidP="009D1D2B">
            <w:pPr>
              <w:tabs>
                <w:tab w:val="left" w:pos="13060"/>
              </w:tabs>
              <w:spacing w:before="0" w:after="0" w:line="240" w:lineRule="auto"/>
              <w:jc w:val="center"/>
              <w:rPr>
                <w:b/>
                <w:bCs/>
                <w:color w:val="7030A0"/>
                <w:sz w:val="22"/>
              </w:rPr>
            </w:pPr>
            <w:r w:rsidRPr="005416ED">
              <w:rPr>
                <w:b/>
                <w:bCs/>
                <w:sz w:val="22"/>
              </w:rPr>
              <w:t>Threshold</w:t>
            </w:r>
          </w:p>
        </w:tc>
      </w:tr>
      <w:tr w:rsidR="00701A2C" w14:paraId="454D0ABA" w14:textId="77777777" w:rsidTr="00FB0A4B">
        <w:tc>
          <w:tcPr>
            <w:tcW w:w="3499" w:type="dxa"/>
          </w:tcPr>
          <w:p w14:paraId="589F388B" w14:textId="7BF291D9" w:rsidR="00701A2C" w:rsidRPr="00701A2C" w:rsidRDefault="00701A2C" w:rsidP="00701A2C">
            <w:pPr>
              <w:tabs>
                <w:tab w:val="left" w:pos="13060"/>
              </w:tabs>
              <w:spacing w:before="0" w:after="0" w:line="240" w:lineRule="auto"/>
              <w:rPr>
                <w:b/>
                <w:bCs/>
                <w:color w:val="7030A0"/>
                <w:sz w:val="20"/>
                <w:szCs w:val="20"/>
              </w:rPr>
            </w:pPr>
            <w:r w:rsidRPr="00701A2C">
              <w:rPr>
                <w:sz w:val="20"/>
                <w:szCs w:val="20"/>
              </w:rPr>
              <w:t>Where non-application/limited tendering provisions are applicable</w:t>
            </w:r>
            <w:r w:rsidRPr="00701A2C">
              <w:rPr>
                <w:b/>
                <w:bCs/>
                <w:color w:val="7030A0"/>
                <w:sz w:val="20"/>
                <w:szCs w:val="20"/>
              </w:rPr>
              <w:t xml:space="preserve"> </w:t>
            </w:r>
          </w:p>
        </w:tc>
        <w:tc>
          <w:tcPr>
            <w:tcW w:w="10526" w:type="dxa"/>
            <w:tcBorders>
              <w:bottom w:val="single" w:sz="4" w:space="0" w:color="auto"/>
            </w:tcBorders>
          </w:tcPr>
          <w:p w14:paraId="6F490043" w14:textId="3D3C1CB6" w:rsidR="00701A2C" w:rsidRPr="00701A2C" w:rsidRDefault="00701A2C" w:rsidP="00701A2C">
            <w:pPr>
              <w:tabs>
                <w:tab w:val="left" w:pos="13060"/>
              </w:tabs>
              <w:spacing w:before="0" w:after="0" w:line="240" w:lineRule="auto"/>
              <w:rPr>
                <w:b/>
                <w:bCs/>
                <w:color w:val="7030A0"/>
                <w:sz w:val="20"/>
                <w:szCs w:val="20"/>
              </w:rPr>
            </w:pPr>
            <w:r w:rsidRPr="00701A2C">
              <w:rPr>
                <w:sz w:val="20"/>
                <w:szCs w:val="20"/>
              </w:rPr>
              <w:t>Leverage trade agreements’ non-application/limited tendering opportunities to give preference to an Ontario business wherever feasible.</w:t>
            </w:r>
          </w:p>
        </w:tc>
        <w:tc>
          <w:tcPr>
            <w:tcW w:w="4406" w:type="dxa"/>
            <w:tcBorders>
              <w:bottom w:val="single" w:sz="4" w:space="0" w:color="auto"/>
            </w:tcBorders>
          </w:tcPr>
          <w:p w14:paraId="23BA8355" w14:textId="05F101BD" w:rsidR="00701A2C" w:rsidRPr="00701A2C" w:rsidRDefault="00701A2C" w:rsidP="00701A2C">
            <w:pPr>
              <w:tabs>
                <w:tab w:val="left" w:pos="13060"/>
              </w:tabs>
              <w:spacing w:before="0" w:after="0" w:line="240" w:lineRule="auto"/>
              <w:rPr>
                <w:b/>
                <w:bCs/>
                <w:color w:val="7030A0"/>
                <w:sz w:val="20"/>
                <w:szCs w:val="20"/>
              </w:rPr>
            </w:pPr>
            <w:r w:rsidRPr="00701A2C">
              <w:rPr>
                <w:sz w:val="20"/>
                <w:szCs w:val="20"/>
              </w:rPr>
              <w:t>Refer to applicable trade agreements</w:t>
            </w:r>
          </w:p>
        </w:tc>
      </w:tr>
    </w:tbl>
    <w:p w14:paraId="1EFD81A6" w14:textId="77777777" w:rsidR="009F647A" w:rsidRDefault="009F647A" w:rsidP="006F3345">
      <w:pPr>
        <w:pStyle w:val="Heading2"/>
      </w:pPr>
    </w:p>
    <w:p w14:paraId="415AE8B3" w14:textId="77777777" w:rsidR="00DC7DCF" w:rsidRDefault="00DC7DCF">
      <w:pPr>
        <w:spacing w:before="0" w:line="259" w:lineRule="auto"/>
        <w:sectPr w:rsidR="00DC7DCF" w:rsidSect="00A95E30">
          <w:pgSz w:w="20160" w:h="12240" w:orient="landscape" w:code="5"/>
          <w:pgMar w:top="-720" w:right="720" w:bottom="720" w:left="720" w:header="308" w:footer="0" w:gutter="0"/>
          <w:cols w:space="708"/>
          <w:titlePg/>
          <w:docGrid w:linePitch="360"/>
        </w:sectPr>
      </w:pPr>
    </w:p>
    <w:p w14:paraId="722F1C8A" w14:textId="7BB39B14" w:rsidR="00E37F3E" w:rsidRDefault="009F647A" w:rsidP="006F3345">
      <w:pPr>
        <w:pStyle w:val="Heading2"/>
      </w:pPr>
      <w:bookmarkStart w:id="235" w:name="_Toc174975065"/>
      <w:r w:rsidRPr="000202DB">
        <w:lastRenderedPageBreak/>
        <w:t>A</w:t>
      </w:r>
      <w:r w:rsidRPr="009459A2">
        <w:t xml:space="preserve">ppendix </w:t>
      </w:r>
      <w:r w:rsidR="00517B6D">
        <w:t>F</w:t>
      </w:r>
      <w:r w:rsidRPr="009459A2">
        <w:t xml:space="preserve">: </w:t>
      </w:r>
      <w:r w:rsidR="00D75764">
        <w:t>trade thresholds</w:t>
      </w:r>
      <w:bookmarkEnd w:id="235"/>
    </w:p>
    <w:p w14:paraId="16E68A51" w14:textId="77777777" w:rsidR="00253986" w:rsidRPr="00253986" w:rsidRDefault="00253986" w:rsidP="00253986">
      <w:r w:rsidRPr="00253986">
        <w:rPr>
          <w:b/>
          <w:bCs/>
        </w:rPr>
        <w:t>Canadian Free Trade Agreement (CFTA)</w:t>
      </w:r>
    </w:p>
    <w:tbl>
      <w:tblPr>
        <w:tblStyle w:val="GridTable4-Accent1"/>
        <w:tblW w:w="0" w:type="auto"/>
        <w:tblLook w:val="0420" w:firstRow="1" w:lastRow="0" w:firstColumn="0" w:lastColumn="0" w:noHBand="0" w:noVBand="1"/>
        <w:tblCaption w:val="Table 3: Trade agreement thresholds"/>
        <w:tblDescription w:val="Trade agreement thresholds are as follows for approach 2"/>
      </w:tblPr>
      <w:tblGrid>
        <w:gridCol w:w="2263"/>
        <w:gridCol w:w="2127"/>
        <w:gridCol w:w="2409"/>
        <w:gridCol w:w="2409"/>
      </w:tblGrid>
      <w:tr w:rsidR="00B04944" w14:paraId="5C080DD9" w14:textId="79C81B96" w:rsidTr="0036798A">
        <w:trPr>
          <w:cnfStyle w:val="100000000000" w:firstRow="1" w:lastRow="0" w:firstColumn="0" w:lastColumn="0" w:oddVBand="0" w:evenVBand="0" w:oddHBand="0" w:evenHBand="0" w:firstRowFirstColumn="0" w:firstRowLastColumn="0" w:lastRowFirstColumn="0" w:lastRowLastColumn="0"/>
          <w:trHeight w:val="1134"/>
        </w:trPr>
        <w:tc>
          <w:tcPr>
            <w:tcW w:w="2263" w:type="dxa"/>
          </w:tcPr>
          <w:p w14:paraId="29D6CEF5" w14:textId="77777777" w:rsidR="00B04944" w:rsidRDefault="00B04944" w:rsidP="00CD4F3D">
            <w:pPr>
              <w:spacing w:before="0"/>
              <w:contextualSpacing/>
            </w:pPr>
            <w:r>
              <w:t>Procurement Type</w:t>
            </w:r>
          </w:p>
        </w:tc>
        <w:tc>
          <w:tcPr>
            <w:tcW w:w="2127" w:type="dxa"/>
          </w:tcPr>
          <w:p w14:paraId="30CE5157" w14:textId="77777777" w:rsidR="00B04944" w:rsidRDefault="00B04944" w:rsidP="00CD4F3D">
            <w:pPr>
              <w:spacing w:before="0"/>
              <w:contextualSpacing/>
            </w:pPr>
            <w:r>
              <w:t>Ministries and most agencies</w:t>
            </w:r>
          </w:p>
        </w:tc>
        <w:tc>
          <w:tcPr>
            <w:tcW w:w="2409" w:type="dxa"/>
          </w:tcPr>
          <w:p w14:paraId="76134341" w14:textId="14358311" w:rsidR="00B04944" w:rsidRDefault="003A15F4" w:rsidP="00CD4F3D">
            <w:pPr>
              <w:spacing w:before="0"/>
              <w:contextualSpacing/>
            </w:pPr>
            <w:r>
              <w:t>Provincial Agencies commercial / industrial entities</w:t>
            </w:r>
          </w:p>
        </w:tc>
        <w:tc>
          <w:tcPr>
            <w:tcW w:w="2409" w:type="dxa"/>
          </w:tcPr>
          <w:p w14:paraId="0CD74A99" w14:textId="2596C0A8" w:rsidR="00B04944" w:rsidRDefault="00B04944" w:rsidP="00CD4F3D">
            <w:pPr>
              <w:spacing w:before="0"/>
              <w:contextualSpacing/>
            </w:pPr>
            <w:r>
              <w:t>School boards, publicly funded academic, health and social services entities</w:t>
            </w:r>
          </w:p>
        </w:tc>
      </w:tr>
      <w:tr w:rsidR="00B04944" w14:paraId="3C17C76B" w14:textId="7384E866" w:rsidTr="0036798A">
        <w:trPr>
          <w:cnfStyle w:val="000000100000" w:firstRow="0" w:lastRow="0" w:firstColumn="0" w:lastColumn="0" w:oddVBand="0" w:evenVBand="0" w:oddHBand="1" w:evenHBand="0" w:firstRowFirstColumn="0" w:firstRowLastColumn="0" w:lastRowFirstColumn="0" w:lastRowLastColumn="0"/>
          <w:trHeight w:val="452"/>
        </w:trPr>
        <w:tc>
          <w:tcPr>
            <w:tcW w:w="2263" w:type="dxa"/>
          </w:tcPr>
          <w:p w14:paraId="3C0813C6" w14:textId="77777777" w:rsidR="00B04944" w:rsidRDefault="00B04944" w:rsidP="00CD4F3D">
            <w:pPr>
              <w:spacing w:before="0"/>
              <w:contextualSpacing/>
            </w:pPr>
            <w:r>
              <w:t>Goods</w:t>
            </w:r>
          </w:p>
        </w:tc>
        <w:tc>
          <w:tcPr>
            <w:tcW w:w="2127" w:type="dxa"/>
          </w:tcPr>
          <w:p w14:paraId="1CEB79E2" w14:textId="77777777" w:rsidR="00B04944" w:rsidRDefault="00B04944" w:rsidP="00CD4F3D">
            <w:pPr>
              <w:spacing w:before="0"/>
              <w:contextualSpacing/>
            </w:pPr>
            <w:r>
              <w:t>$30,300</w:t>
            </w:r>
          </w:p>
        </w:tc>
        <w:tc>
          <w:tcPr>
            <w:tcW w:w="2409" w:type="dxa"/>
          </w:tcPr>
          <w:p w14:paraId="10AF9C9C" w14:textId="330CD0D1" w:rsidR="00B04944" w:rsidRDefault="00993ED0" w:rsidP="00CD4F3D">
            <w:pPr>
              <w:spacing w:before="0"/>
              <w:contextualSpacing/>
            </w:pPr>
            <w:r>
              <w:t>$605,600</w:t>
            </w:r>
          </w:p>
        </w:tc>
        <w:tc>
          <w:tcPr>
            <w:tcW w:w="2409" w:type="dxa"/>
          </w:tcPr>
          <w:p w14:paraId="4CD47FB9" w14:textId="2FF23B5D" w:rsidR="00B04944" w:rsidRDefault="00B04944" w:rsidP="00CD4F3D">
            <w:pPr>
              <w:spacing w:before="0"/>
              <w:contextualSpacing/>
            </w:pPr>
            <w:r>
              <w:t>$121,200</w:t>
            </w:r>
          </w:p>
        </w:tc>
      </w:tr>
      <w:tr w:rsidR="00B04944" w14:paraId="68BED254" w14:textId="23BABC56" w:rsidTr="0036798A">
        <w:trPr>
          <w:trHeight w:val="340"/>
        </w:trPr>
        <w:tc>
          <w:tcPr>
            <w:tcW w:w="2263" w:type="dxa"/>
          </w:tcPr>
          <w:p w14:paraId="774A16EE" w14:textId="77777777" w:rsidR="00B04944" w:rsidRDefault="00B04944" w:rsidP="00CD4F3D">
            <w:pPr>
              <w:spacing w:before="0"/>
              <w:contextualSpacing/>
            </w:pPr>
            <w:r>
              <w:t>Services</w:t>
            </w:r>
          </w:p>
        </w:tc>
        <w:tc>
          <w:tcPr>
            <w:tcW w:w="2127" w:type="dxa"/>
          </w:tcPr>
          <w:p w14:paraId="705E981A" w14:textId="77777777" w:rsidR="00B04944" w:rsidRDefault="00B04944" w:rsidP="00CD4F3D">
            <w:pPr>
              <w:spacing w:before="0"/>
              <w:contextualSpacing/>
            </w:pPr>
            <w:r>
              <w:t>$121,200</w:t>
            </w:r>
          </w:p>
        </w:tc>
        <w:tc>
          <w:tcPr>
            <w:tcW w:w="2409" w:type="dxa"/>
          </w:tcPr>
          <w:p w14:paraId="77FE1028" w14:textId="3BF71B3C" w:rsidR="00B04944" w:rsidRDefault="00941925" w:rsidP="00CD4F3D">
            <w:pPr>
              <w:spacing w:before="0"/>
              <w:contextualSpacing/>
            </w:pPr>
            <w:r>
              <w:t>$605,600</w:t>
            </w:r>
          </w:p>
        </w:tc>
        <w:tc>
          <w:tcPr>
            <w:tcW w:w="2409" w:type="dxa"/>
          </w:tcPr>
          <w:p w14:paraId="4DD7E783" w14:textId="542AF9A6" w:rsidR="00B04944" w:rsidRDefault="00B04944" w:rsidP="00CD4F3D">
            <w:pPr>
              <w:spacing w:before="0"/>
              <w:contextualSpacing/>
            </w:pPr>
            <w:r>
              <w:t>$121,200</w:t>
            </w:r>
          </w:p>
        </w:tc>
      </w:tr>
      <w:tr w:rsidR="00B04944" w14:paraId="00432BD8" w14:textId="5540763F" w:rsidTr="0036798A">
        <w:trPr>
          <w:cnfStyle w:val="000000100000" w:firstRow="0" w:lastRow="0" w:firstColumn="0" w:lastColumn="0" w:oddVBand="0" w:evenVBand="0" w:oddHBand="1" w:evenHBand="0" w:firstRowFirstColumn="0" w:firstRowLastColumn="0" w:lastRowFirstColumn="0" w:lastRowLastColumn="0"/>
          <w:trHeight w:val="340"/>
        </w:trPr>
        <w:tc>
          <w:tcPr>
            <w:tcW w:w="2263" w:type="dxa"/>
          </w:tcPr>
          <w:p w14:paraId="7B97CDD5" w14:textId="77777777" w:rsidR="00B04944" w:rsidRDefault="00B04944" w:rsidP="00CD4F3D">
            <w:pPr>
              <w:spacing w:before="0"/>
              <w:contextualSpacing/>
            </w:pPr>
            <w:r>
              <w:t>Construction</w:t>
            </w:r>
          </w:p>
        </w:tc>
        <w:tc>
          <w:tcPr>
            <w:tcW w:w="2127" w:type="dxa"/>
          </w:tcPr>
          <w:p w14:paraId="09C0651C" w14:textId="77777777" w:rsidR="00B04944" w:rsidRDefault="00B04944" w:rsidP="00CD4F3D">
            <w:pPr>
              <w:spacing w:before="0"/>
              <w:contextualSpacing/>
            </w:pPr>
            <w:r>
              <w:t>$121,200</w:t>
            </w:r>
          </w:p>
        </w:tc>
        <w:tc>
          <w:tcPr>
            <w:tcW w:w="2409" w:type="dxa"/>
          </w:tcPr>
          <w:p w14:paraId="34F3990C" w14:textId="1BBA7DFB" w:rsidR="00B04944" w:rsidRDefault="00941925" w:rsidP="00941925">
            <w:pPr>
              <w:spacing w:before="0"/>
              <w:contextualSpacing/>
            </w:pPr>
            <w:r w:rsidRPr="00941925">
              <w:t>$6,056,100</w:t>
            </w:r>
          </w:p>
        </w:tc>
        <w:tc>
          <w:tcPr>
            <w:tcW w:w="2409" w:type="dxa"/>
          </w:tcPr>
          <w:p w14:paraId="25052668" w14:textId="6F00AB93" w:rsidR="00B04944" w:rsidRDefault="003A15F4" w:rsidP="00CD4F3D">
            <w:pPr>
              <w:spacing w:before="0"/>
              <w:contextualSpacing/>
            </w:pPr>
            <w:r>
              <w:t>$121,200</w:t>
            </w:r>
          </w:p>
        </w:tc>
      </w:tr>
    </w:tbl>
    <w:p w14:paraId="2BF59FB6" w14:textId="07C30A19" w:rsidR="00715886" w:rsidRDefault="00715886" w:rsidP="00715886">
      <w:pPr>
        <w:spacing w:after="240"/>
        <w:rPr>
          <w:rFonts w:eastAsia="Times New Roman" w:cs="Times New Roman"/>
          <w:sz w:val="16"/>
          <w:szCs w:val="16"/>
          <w:lang w:eastAsia="en-CA"/>
        </w:rPr>
      </w:pPr>
    </w:p>
    <w:p w14:paraId="065710B1" w14:textId="77777777" w:rsidR="00253986" w:rsidRPr="00253986" w:rsidRDefault="00253986" w:rsidP="00253986">
      <w:pPr>
        <w:rPr>
          <w:b/>
          <w:bCs/>
        </w:rPr>
      </w:pPr>
      <w:r w:rsidRPr="00253986">
        <w:rPr>
          <w:b/>
          <w:bCs/>
        </w:rPr>
        <w:t>Canada-European Union Comprehensive Economic and Trade Agreement (CETA)</w:t>
      </w:r>
    </w:p>
    <w:tbl>
      <w:tblPr>
        <w:tblStyle w:val="GridTable4-Accent1"/>
        <w:tblW w:w="0" w:type="auto"/>
        <w:tblLook w:val="0420" w:firstRow="1" w:lastRow="0" w:firstColumn="0" w:lastColumn="0" w:noHBand="0" w:noVBand="1"/>
        <w:tblCaption w:val="Table 5: International trade agreement thresholds"/>
        <w:tblDescription w:val="International trade agreement thresholds are as follows"/>
      </w:tblPr>
      <w:tblGrid>
        <w:gridCol w:w="2343"/>
        <w:gridCol w:w="2104"/>
        <w:gridCol w:w="2382"/>
        <w:gridCol w:w="2521"/>
      </w:tblGrid>
      <w:tr w:rsidR="00D75764" w14:paraId="196391A4" w14:textId="77777777" w:rsidTr="00CD4F3D">
        <w:trPr>
          <w:cnfStyle w:val="100000000000" w:firstRow="1" w:lastRow="0" w:firstColumn="0" w:lastColumn="0" w:oddVBand="0" w:evenVBand="0" w:oddHBand="0" w:evenHBand="0" w:firstRowFirstColumn="0" w:firstRowLastColumn="0" w:lastRowFirstColumn="0" w:lastRowLastColumn="0"/>
          <w:trHeight w:val="1163"/>
        </w:trPr>
        <w:tc>
          <w:tcPr>
            <w:tcW w:w="2343" w:type="dxa"/>
          </w:tcPr>
          <w:p w14:paraId="1F8F0041" w14:textId="77777777" w:rsidR="00D75764" w:rsidRDefault="00D75764" w:rsidP="00CD4F3D">
            <w:pPr>
              <w:spacing w:before="0"/>
              <w:contextualSpacing/>
            </w:pPr>
            <w:r>
              <w:t>Procurement Type</w:t>
            </w:r>
          </w:p>
        </w:tc>
        <w:tc>
          <w:tcPr>
            <w:tcW w:w="2104" w:type="dxa"/>
          </w:tcPr>
          <w:p w14:paraId="4C098BEA" w14:textId="77777777" w:rsidR="00D75764" w:rsidRDefault="00D75764" w:rsidP="00CD4F3D">
            <w:pPr>
              <w:spacing w:before="0"/>
              <w:contextualSpacing/>
            </w:pPr>
            <w:r>
              <w:t>Ministries and most agencies</w:t>
            </w:r>
          </w:p>
        </w:tc>
        <w:tc>
          <w:tcPr>
            <w:tcW w:w="2382" w:type="dxa"/>
          </w:tcPr>
          <w:p w14:paraId="254962BB" w14:textId="77777777" w:rsidR="00D75764" w:rsidRDefault="00D75764" w:rsidP="00CD4F3D">
            <w:pPr>
              <w:spacing w:before="0"/>
              <w:contextualSpacing/>
            </w:pPr>
            <w:r>
              <w:t>Provincial Agencies commercial / industrial entities</w:t>
            </w:r>
          </w:p>
        </w:tc>
        <w:tc>
          <w:tcPr>
            <w:tcW w:w="2521" w:type="dxa"/>
          </w:tcPr>
          <w:p w14:paraId="0B5D67CB" w14:textId="77777777" w:rsidR="00D75764" w:rsidRDefault="00D75764" w:rsidP="00CD4F3D">
            <w:pPr>
              <w:spacing w:before="0"/>
              <w:contextualSpacing/>
            </w:pPr>
            <w:r>
              <w:t>School boards, publicly funded academic, health and social services entities</w:t>
            </w:r>
          </w:p>
        </w:tc>
      </w:tr>
      <w:tr w:rsidR="00D75764" w14:paraId="634EA7A9" w14:textId="77777777" w:rsidTr="00CD4F3D">
        <w:trPr>
          <w:cnfStyle w:val="000000100000" w:firstRow="0" w:lastRow="0" w:firstColumn="0" w:lastColumn="0" w:oddVBand="0" w:evenVBand="0" w:oddHBand="1" w:evenHBand="0" w:firstRowFirstColumn="0" w:firstRowLastColumn="0" w:lastRowFirstColumn="0" w:lastRowLastColumn="0"/>
          <w:trHeight w:val="432"/>
        </w:trPr>
        <w:tc>
          <w:tcPr>
            <w:tcW w:w="2343" w:type="dxa"/>
          </w:tcPr>
          <w:p w14:paraId="1BD71194" w14:textId="77777777" w:rsidR="00D75764" w:rsidRDefault="00D75764" w:rsidP="00CD4F3D">
            <w:pPr>
              <w:spacing w:before="0"/>
              <w:contextualSpacing/>
            </w:pPr>
            <w:r>
              <w:t>Goods</w:t>
            </w:r>
          </w:p>
        </w:tc>
        <w:tc>
          <w:tcPr>
            <w:tcW w:w="2104" w:type="dxa"/>
          </w:tcPr>
          <w:p w14:paraId="24CA1BCE" w14:textId="77777777" w:rsidR="00D75764" w:rsidRDefault="00D75764" w:rsidP="00CD4F3D">
            <w:pPr>
              <w:spacing w:before="0"/>
              <w:contextualSpacing/>
            </w:pPr>
            <w:r>
              <w:t>$353,300</w:t>
            </w:r>
          </w:p>
        </w:tc>
        <w:tc>
          <w:tcPr>
            <w:tcW w:w="2382" w:type="dxa"/>
          </w:tcPr>
          <w:p w14:paraId="78997AC9" w14:textId="77777777" w:rsidR="00D75764" w:rsidRDefault="00D75764" w:rsidP="00CD4F3D">
            <w:pPr>
              <w:spacing w:before="0"/>
              <w:contextualSpacing/>
            </w:pPr>
            <w:r>
              <w:t>$627,200</w:t>
            </w:r>
          </w:p>
        </w:tc>
        <w:tc>
          <w:tcPr>
            <w:tcW w:w="2521" w:type="dxa"/>
          </w:tcPr>
          <w:p w14:paraId="33085FC4" w14:textId="77777777" w:rsidR="00D75764" w:rsidRDefault="00D75764" w:rsidP="00CD4F3D">
            <w:pPr>
              <w:spacing w:before="0"/>
              <w:contextualSpacing/>
            </w:pPr>
            <w:r>
              <w:t>$353,300</w:t>
            </w:r>
          </w:p>
        </w:tc>
      </w:tr>
      <w:tr w:rsidR="00D75764" w14:paraId="4D2B08A3" w14:textId="77777777" w:rsidTr="00CD4F3D">
        <w:trPr>
          <w:trHeight w:val="340"/>
        </w:trPr>
        <w:tc>
          <w:tcPr>
            <w:tcW w:w="2343" w:type="dxa"/>
          </w:tcPr>
          <w:p w14:paraId="5B82E6D8" w14:textId="77777777" w:rsidR="00D75764" w:rsidRDefault="00D75764" w:rsidP="00CD4F3D">
            <w:pPr>
              <w:spacing w:before="0"/>
              <w:contextualSpacing/>
            </w:pPr>
            <w:r>
              <w:t>Services</w:t>
            </w:r>
          </w:p>
        </w:tc>
        <w:tc>
          <w:tcPr>
            <w:tcW w:w="2104" w:type="dxa"/>
          </w:tcPr>
          <w:p w14:paraId="47DECE40" w14:textId="77777777" w:rsidR="00D75764" w:rsidRDefault="00D75764" w:rsidP="00CD4F3D">
            <w:pPr>
              <w:spacing w:before="0"/>
              <w:contextualSpacing/>
            </w:pPr>
            <w:r>
              <w:t>$353,300</w:t>
            </w:r>
          </w:p>
        </w:tc>
        <w:tc>
          <w:tcPr>
            <w:tcW w:w="2382" w:type="dxa"/>
          </w:tcPr>
          <w:p w14:paraId="499B48AA" w14:textId="77777777" w:rsidR="00D75764" w:rsidRDefault="00D75764" w:rsidP="00CD4F3D">
            <w:pPr>
              <w:spacing w:before="0"/>
              <w:contextualSpacing/>
            </w:pPr>
            <w:r>
              <w:t>$627,000</w:t>
            </w:r>
          </w:p>
        </w:tc>
        <w:tc>
          <w:tcPr>
            <w:tcW w:w="2521" w:type="dxa"/>
          </w:tcPr>
          <w:p w14:paraId="653F6C4F" w14:textId="77777777" w:rsidR="00D75764" w:rsidRDefault="00D75764" w:rsidP="00CD4F3D">
            <w:pPr>
              <w:spacing w:before="0"/>
              <w:contextualSpacing/>
            </w:pPr>
            <w:r>
              <w:t>$353,300</w:t>
            </w:r>
          </w:p>
        </w:tc>
      </w:tr>
      <w:tr w:rsidR="00D75764" w14:paraId="31664AAE" w14:textId="77777777" w:rsidTr="00CD4F3D">
        <w:trPr>
          <w:cnfStyle w:val="000000100000" w:firstRow="0" w:lastRow="0" w:firstColumn="0" w:lastColumn="0" w:oddVBand="0" w:evenVBand="0" w:oddHBand="1" w:evenHBand="0" w:firstRowFirstColumn="0" w:firstRowLastColumn="0" w:lastRowFirstColumn="0" w:lastRowLastColumn="0"/>
          <w:trHeight w:val="340"/>
        </w:trPr>
        <w:tc>
          <w:tcPr>
            <w:tcW w:w="2343" w:type="dxa"/>
          </w:tcPr>
          <w:p w14:paraId="06F72B50" w14:textId="77777777" w:rsidR="00D75764" w:rsidRDefault="00D75764" w:rsidP="00CD4F3D">
            <w:pPr>
              <w:spacing w:before="0"/>
              <w:contextualSpacing/>
            </w:pPr>
            <w:r>
              <w:t>Construction</w:t>
            </w:r>
          </w:p>
        </w:tc>
        <w:tc>
          <w:tcPr>
            <w:tcW w:w="2104" w:type="dxa"/>
          </w:tcPr>
          <w:p w14:paraId="53454439" w14:textId="77777777" w:rsidR="00D75764" w:rsidRDefault="00D75764" w:rsidP="00CD4F3D">
            <w:pPr>
              <w:spacing w:before="0"/>
              <w:contextualSpacing/>
            </w:pPr>
            <w:r>
              <w:t>$8,800,00</w:t>
            </w:r>
          </w:p>
        </w:tc>
        <w:tc>
          <w:tcPr>
            <w:tcW w:w="2382" w:type="dxa"/>
          </w:tcPr>
          <w:p w14:paraId="23572656" w14:textId="77777777" w:rsidR="00D75764" w:rsidRDefault="00D75764" w:rsidP="00CD4F3D">
            <w:pPr>
              <w:spacing w:before="0"/>
              <w:contextualSpacing/>
            </w:pPr>
            <w:r>
              <w:t>$8,800,000</w:t>
            </w:r>
          </w:p>
        </w:tc>
        <w:tc>
          <w:tcPr>
            <w:tcW w:w="2521" w:type="dxa"/>
          </w:tcPr>
          <w:p w14:paraId="61666CBC" w14:textId="77777777" w:rsidR="00D75764" w:rsidRDefault="00D75764" w:rsidP="00CD4F3D">
            <w:pPr>
              <w:spacing w:before="0"/>
              <w:contextualSpacing/>
            </w:pPr>
            <w:r>
              <w:t>$8,800,00</w:t>
            </w:r>
          </w:p>
        </w:tc>
      </w:tr>
    </w:tbl>
    <w:p w14:paraId="5D33CBAA" w14:textId="77777777" w:rsidR="00D75764" w:rsidRPr="00D75764" w:rsidRDefault="00D75764" w:rsidP="00D75764"/>
    <w:sectPr w:rsidR="00D75764" w:rsidRPr="00D75764" w:rsidSect="00DC7DCF">
      <w:pgSz w:w="12240" w:h="15840"/>
      <w:pgMar w:top="1440" w:right="1440" w:bottom="1440" w:left="1440" w:header="308"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D0571" w14:textId="77777777" w:rsidR="004815E1" w:rsidRDefault="004815E1" w:rsidP="00F848AC">
      <w:r>
        <w:separator/>
      </w:r>
    </w:p>
    <w:p w14:paraId="7C268954" w14:textId="77777777" w:rsidR="004815E1" w:rsidRDefault="004815E1"/>
  </w:endnote>
  <w:endnote w:type="continuationSeparator" w:id="0">
    <w:p w14:paraId="62134B20" w14:textId="77777777" w:rsidR="004815E1" w:rsidRDefault="004815E1" w:rsidP="00F848AC">
      <w:r>
        <w:continuationSeparator/>
      </w:r>
    </w:p>
    <w:p w14:paraId="19360031" w14:textId="77777777" w:rsidR="004815E1" w:rsidRDefault="004815E1"/>
  </w:endnote>
  <w:endnote w:type="continuationNotice" w:id="1">
    <w:p w14:paraId="145ED4DB" w14:textId="77777777" w:rsidR="004815E1" w:rsidRDefault="004815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aleway">
    <w:panose1 w:val="00000500000000000000"/>
    <w:charset w:val="00"/>
    <w:family w:val="modern"/>
    <w:notTrueType/>
    <w:pitch w:val="variable"/>
    <w:sig w:usb0="20000207"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272F1" w14:textId="77777777" w:rsidR="000D1E4B" w:rsidRDefault="00E7187A" w:rsidP="008568A3">
    <w:pPr>
      <w:tabs>
        <w:tab w:val="center" w:pos="4680"/>
        <w:tab w:val="right" w:pos="9900"/>
      </w:tabs>
      <w:spacing w:before="0" w:after="0" w:line="240" w:lineRule="auto"/>
      <w:ind w:hanging="6"/>
      <w:jc w:val="right"/>
      <w:rPr>
        <w:rFonts w:eastAsia="Times New Roman" w:cs="Arial"/>
        <w:sz w:val="20"/>
        <w:szCs w:val="20"/>
        <w:lang w:val="en-US" w:eastAsia="en-CA"/>
      </w:rPr>
    </w:pPr>
    <w:r w:rsidRPr="00751CE9">
      <w:rPr>
        <w:sz w:val="20"/>
        <w:szCs w:val="18"/>
      </w:rPr>
      <w:t>Building Ontario Businesses Initiative</w:t>
    </w:r>
    <w:r w:rsidRPr="00751CE9" w:rsidDel="00C966F5">
      <w:rPr>
        <w:rFonts w:eastAsia="Times New Roman" w:cs="Arial"/>
        <w:sz w:val="16"/>
        <w:szCs w:val="16"/>
        <w:lang w:val="en-US" w:eastAsia="en-CA"/>
      </w:rPr>
      <w:t xml:space="preserve"> </w:t>
    </w:r>
    <w:r w:rsidRPr="00080240">
      <w:rPr>
        <w:rFonts w:eastAsia="Times New Roman" w:cs="Arial"/>
        <w:sz w:val="20"/>
        <w:szCs w:val="20"/>
        <w:lang w:val="en-US" w:eastAsia="en-CA"/>
      </w:rPr>
      <w:t>-</w:t>
    </w:r>
    <w:r>
      <w:rPr>
        <w:rFonts w:eastAsia="Times New Roman" w:cs="Arial"/>
        <w:sz w:val="20"/>
        <w:szCs w:val="20"/>
        <w:lang w:val="en-US" w:eastAsia="en-CA"/>
      </w:rPr>
      <w:t xml:space="preserve"> A</w:t>
    </w:r>
    <w:r w:rsidRPr="00080240">
      <w:rPr>
        <w:rFonts w:eastAsia="Times New Roman" w:cs="Arial"/>
        <w:sz w:val="20"/>
        <w:szCs w:val="20"/>
        <w:lang w:val="en-US" w:eastAsia="en-CA"/>
      </w:rPr>
      <w:t xml:space="preserve"> Guide</w:t>
    </w:r>
    <w:r>
      <w:rPr>
        <w:rFonts w:eastAsia="Times New Roman" w:cs="Arial"/>
        <w:sz w:val="20"/>
        <w:szCs w:val="20"/>
        <w:lang w:val="en-US" w:eastAsia="en-CA"/>
      </w:rPr>
      <w:t xml:space="preserve"> for Buyers </w:t>
    </w:r>
  </w:p>
  <w:p w14:paraId="5CD4D9CD" w14:textId="0D3FD548" w:rsidR="008568A3" w:rsidRDefault="00B17668" w:rsidP="008568A3">
    <w:pPr>
      <w:tabs>
        <w:tab w:val="center" w:pos="4680"/>
        <w:tab w:val="right" w:pos="9900"/>
      </w:tabs>
      <w:spacing w:before="0" w:after="0" w:line="240" w:lineRule="auto"/>
      <w:ind w:hanging="6"/>
      <w:jc w:val="right"/>
      <w:rPr>
        <w:rFonts w:eastAsia="Times New Roman" w:cs="Arial"/>
        <w:sz w:val="20"/>
        <w:szCs w:val="20"/>
        <w:lang w:val="en-US" w:eastAsia="en-CA"/>
      </w:rPr>
    </w:pPr>
    <w:r>
      <w:rPr>
        <w:rFonts w:eastAsia="Times New Roman" w:cs="Arial"/>
        <w:sz w:val="20"/>
        <w:szCs w:val="20"/>
        <w:lang w:val="en-US" w:eastAsia="en-CA"/>
      </w:rPr>
      <w:t xml:space="preserve">Version </w:t>
    </w:r>
    <w:r w:rsidR="00312A9E">
      <w:rPr>
        <w:rFonts w:eastAsia="Times New Roman" w:cs="Arial"/>
        <w:sz w:val="20"/>
        <w:szCs w:val="20"/>
        <w:lang w:val="en-US" w:eastAsia="en-CA"/>
      </w:rPr>
      <w:t>September</w:t>
    </w:r>
    <w:r w:rsidR="00EA09E6">
      <w:rPr>
        <w:rFonts w:eastAsia="Times New Roman" w:cs="Arial"/>
        <w:sz w:val="20"/>
        <w:szCs w:val="20"/>
        <w:lang w:val="en-US" w:eastAsia="en-CA"/>
      </w:rPr>
      <w:t xml:space="preserve"> </w:t>
    </w:r>
    <w:r>
      <w:rPr>
        <w:rFonts w:eastAsia="Times New Roman" w:cs="Arial"/>
        <w:sz w:val="20"/>
        <w:szCs w:val="20"/>
        <w:lang w:val="en-US" w:eastAsia="en-CA"/>
      </w:rPr>
      <w:t>2024</w:t>
    </w:r>
    <w:r w:rsidR="00E7187A">
      <w:rPr>
        <w:rFonts w:eastAsia="Times New Roman" w:cs="Arial"/>
        <w:sz w:val="20"/>
        <w:szCs w:val="20"/>
        <w:lang w:val="en-US" w:eastAsia="en-CA"/>
      </w:rPr>
      <w:t xml:space="preserve"> </w:t>
    </w:r>
  </w:p>
  <w:p w14:paraId="38643414" w14:textId="49DB06FB" w:rsidR="00A84B6A" w:rsidRPr="00080240" w:rsidRDefault="00A84B6A" w:rsidP="000D1E4B">
    <w:pPr>
      <w:tabs>
        <w:tab w:val="center" w:pos="4680"/>
        <w:tab w:val="right" w:pos="9900"/>
      </w:tabs>
      <w:spacing w:before="0" w:after="0" w:line="240" w:lineRule="auto"/>
      <w:ind w:hanging="6"/>
      <w:jc w:val="right"/>
      <w:rPr>
        <w:rFonts w:eastAsia="Times New Roman" w:cs="Arial"/>
        <w:color w:val="800080"/>
        <w:szCs w:val="24"/>
        <w:lang w:val="en-US" w:eastAsia="en-CA"/>
      </w:rPr>
    </w:pPr>
    <w:r w:rsidRPr="00080240">
      <w:rPr>
        <w:rFonts w:eastAsia="Times New Roman" w:cs="Arial"/>
        <w:color w:val="000000"/>
        <w:sz w:val="20"/>
        <w:szCs w:val="20"/>
        <w:lang w:val="en-US" w:eastAsia="en-CA"/>
      </w:rPr>
      <w:fldChar w:fldCharType="begin"/>
    </w:r>
    <w:r w:rsidRPr="00080240">
      <w:rPr>
        <w:rFonts w:eastAsia="Times New Roman" w:cs="Arial"/>
        <w:color w:val="000000"/>
        <w:sz w:val="20"/>
        <w:szCs w:val="20"/>
        <w:lang w:val="en-US" w:eastAsia="en-CA"/>
      </w:rPr>
      <w:instrText xml:space="preserve"> PAGE   \* MERGEFORMAT </w:instrText>
    </w:r>
    <w:r w:rsidRPr="00080240">
      <w:rPr>
        <w:rFonts w:eastAsia="Times New Roman" w:cs="Arial"/>
        <w:color w:val="000000"/>
        <w:sz w:val="20"/>
        <w:szCs w:val="20"/>
        <w:lang w:val="en-US" w:eastAsia="en-CA"/>
      </w:rPr>
      <w:fldChar w:fldCharType="separate"/>
    </w:r>
    <w:r w:rsidRPr="00080240">
      <w:rPr>
        <w:rFonts w:eastAsia="Times New Roman" w:cs="Arial"/>
        <w:color w:val="000000"/>
        <w:sz w:val="20"/>
        <w:szCs w:val="20"/>
        <w:lang w:val="en-US" w:eastAsia="en-CA"/>
      </w:rPr>
      <w:t>2</w:t>
    </w:r>
    <w:r w:rsidRPr="00080240">
      <w:rPr>
        <w:rFonts w:eastAsia="Times New Roman" w:cs="Arial"/>
        <w:noProof/>
        <w:color w:val="000000"/>
        <w:sz w:val="20"/>
        <w:szCs w:val="20"/>
        <w:lang w:val="en-US" w:eastAsia="en-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B717" w14:textId="42497573" w:rsidR="00A84B6A" w:rsidRPr="00080240" w:rsidRDefault="00C966F5" w:rsidP="000A751B">
    <w:pPr>
      <w:tabs>
        <w:tab w:val="center" w:pos="4680"/>
        <w:tab w:val="right" w:pos="9900"/>
      </w:tabs>
      <w:ind w:hanging="5"/>
      <w:jc w:val="right"/>
      <w:rPr>
        <w:rFonts w:eastAsia="Times New Roman" w:cs="Arial"/>
        <w:color w:val="800080"/>
        <w:szCs w:val="24"/>
        <w:lang w:val="en-US" w:eastAsia="en-CA"/>
      </w:rPr>
    </w:pPr>
    <w:r w:rsidRPr="00751CE9">
      <w:rPr>
        <w:sz w:val="20"/>
        <w:szCs w:val="18"/>
      </w:rPr>
      <w:t>Building Ontario Businesses Initiative</w:t>
    </w:r>
    <w:r w:rsidRPr="00751CE9" w:rsidDel="00C966F5">
      <w:rPr>
        <w:rFonts w:eastAsia="Times New Roman" w:cs="Arial"/>
        <w:sz w:val="16"/>
        <w:szCs w:val="16"/>
        <w:lang w:val="en-US" w:eastAsia="en-CA"/>
      </w:rPr>
      <w:t xml:space="preserve"> </w:t>
    </w:r>
    <w:r w:rsidR="00A84B6A" w:rsidRPr="00080240">
      <w:rPr>
        <w:rFonts w:eastAsia="Times New Roman" w:cs="Arial"/>
        <w:sz w:val="20"/>
        <w:szCs w:val="20"/>
        <w:lang w:val="en-US" w:eastAsia="en-CA"/>
      </w:rPr>
      <w:t>-</w:t>
    </w:r>
    <w:r w:rsidR="007406CF">
      <w:rPr>
        <w:rFonts w:eastAsia="Times New Roman" w:cs="Arial"/>
        <w:sz w:val="20"/>
        <w:szCs w:val="20"/>
        <w:lang w:val="en-US" w:eastAsia="en-CA"/>
      </w:rPr>
      <w:t xml:space="preserve"> A</w:t>
    </w:r>
    <w:r w:rsidR="00A84B6A" w:rsidRPr="00080240">
      <w:rPr>
        <w:rFonts w:eastAsia="Times New Roman" w:cs="Arial"/>
        <w:sz w:val="20"/>
        <w:szCs w:val="20"/>
        <w:lang w:val="en-US" w:eastAsia="en-CA"/>
      </w:rPr>
      <w:t xml:space="preserve"> Guide</w:t>
    </w:r>
    <w:r w:rsidR="007406CF">
      <w:rPr>
        <w:rFonts w:eastAsia="Times New Roman" w:cs="Arial"/>
        <w:sz w:val="20"/>
        <w:szCs w:val="20"/>
        <w:lang w:val="en-US" w:eastAsia="en-CA"/>
      </w:rPr>
      <w:t xml:space="preserve"> for Buyers   </w:t>
    </w:r>
    <w:r w:rsidR="00A84B6A" w:rsidRPr="00080240">
      <w:rPr>
        <w:rFonts w:eastAsia="Times New Roman" w:cs="Arial"/>
        <w:color w:val="006E81"/>
        <w:szCs w:val="24"/>
        <w:lang w:val="en-US" w:eastAsia="en-CA"/>
      </w:rPr>
      <w:t xml:space="preserve"> </w:t>
    </w:r>
    <w:r w:rsidR="00A84B6A" w:rsidRPr="00080240">
      <w:rPr>
        <w:rFonts w:eastAsia="Times New Roman" w:cs="Arial"/>
        <w:color w:val="000000"/>
        <w:sz w:val="20"/>
        <w:szCs w:val="20"/>
        <w:lang w:val="en-US" w:eastAsia="en-CA"/>
      </w:rPr>
      <w:fldChar w:fldCharType="begin"/>
    </w:r>
    <w:r w:rsidR="00A84B6A" w:rsidRPr="00080240">
      <w:rPr>
        <w:rFonts w:eastAsia="Times New Roman" w:cs="Arial"/>
        <w:color w:val="000000"/>
        <w:sz w:val="20"/>
        <w:szCs w:val="20"/>
        <w:lang w:val="en-US" w:eastAsia="en-CA"/>
      </w:rPr>
      <w:instrText xml:space="preserve"> PAGE   \* MERGEFORMAT </w:instrText>
    </w:r>
    <w:r w:rsidR="00A84B6A" w:rsidRPr="00080240">
      <w:rPr>
        <w:rFonts w:eastAsia="Times New Roman" w:cs="Arial"/>
        <w:color w:val="000000"/>
        <w:sz w:val="20"/>
        <w:szCs w:val="20"/>
        <w:lang w:val="en-US" w:eastAsia="en-CA"/>
      </w:rPr>
      <w:fldChar w:fldCharType="separate"/>
    </w:r>
    <w:r w:rsidR="00A84B6A" w:rsidRPr="00080240">
      <w:rPr>
        <w:rFonts w:eastAsia="Times New Roman" w:cs="Arial"/>
        <w:color w:val="000000"/>
        <w:sz w:val="20"/>
        <w:szCs w:val="20"/>
        <w:lang w:val="en-US" w:eastAsia="en-CA"/>
      </w:rPr>
      <w:t>5</w:t>
    </w:r>
    <w:r w:rsidR="00A84B6A" w:rsidRPr="00080240">
      <w:rPr>
        <w:rFonts w:eastAsia="Times New Roman" w:cs="Arial"/>
        <w:noProof/>
        <w:color w:val="000000"/>
        <w:sz w:val="20"/>
        <w:szCs w:val="20"/>
        <w:lang w:val="en-US" w:eastAsia="en-CA"/>
      </w:rPr>
      <w:fldChar w:fldCharType="end"/>
    </w:r>
  </w:p>
  <w:p w14:paraId="56606F47" w14:textId="38CF51F1" w:rsidR="00A84B6A" w:rsidRDefault="00A84B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B05FC" w14:textId="77777777" w:rsidR="004815E1" w:rsidRDefault="004815E1" w:rsidP="00F848AC">
      <w:r>
        <w:separator/>
      </w:r>
    </w:p>
    <w:p w14:paraId="5DD1513D" w14:textId="77777777" w:rsidR="004815E1" w:rsidRDefault="004815E1"/>
  </w:footnote>
  <w:footnote w:type="continuationSeparator" w:id="0">
    <w:p w14:paraId="57A16823" w14:textId="77777777" w:rsidR="004815E1" w:rsidRDefault="004815E1" w:rsidP="00F848AC">
      <w:r>
        <w:continuationSeparator/>
      </w:r>
    </w:p>
    <w:p w14:paraId="6624DCA8" w14:textId="77777777" w:rsidR="004815E1" w:rsidRDefault="004815E1"/>
  </w:footnote>
  <w:footnote w:type="continuationNotice" w:id="1">
    <w:p w14:paraId="2C36300E" w14:textId="77777777" w:rsidR="004815E1" w:rsidRDefault="004815E1">
      <w:pPr>
        <w:spacing w:after="0" w:line="240" w:lineRule="auto"/>
      </w:pPr>
    </w:p>
  </w:footnote>
  <w:footnote w:id="2">
    <w:p w14:paraId="083B95EA" w14:textId="38466F5C" w:rsidR="00502E16" w:rsidRPr="005348AF" w:rsidRDefault="00502E16">
      <w:pPr>
        <w:pStyle w:val="FootnoteText"/>
        <w:rPr>
          <w:lang w:val="en-US"/>
        </w:rPr>
      </w:pPr>
      <w:r>
        <w:rPr>
          <w:rStyle w:val="FootnoteReference"/>
        </w:rPr>
        <w:footnoteRef/>
      </w:r>
      <w:r>
        <w:t xml:space="preserve"> </w:t>
      </w:r>
      <w:r>
        <w:rPr>
          <w:lang w:val="en-US"/>
        </w:rPr>
        <w:t>Thresholds are updated biannual</w:t>
      </w:r>
      <w:r w:rsidR="00EC6080">
        <w:rPr>
          <w:lang w:val="en-US"/>
        </w:rPr>
        <w:t>ly to adjust for inflation.</w:t>
      </w:r>
    </w:p>
  </w:footnote>
  <w:footnote w:id="3">
    <w:p w14:paraId="23EBE75B" w14:textId="1E725FAF" w:rsidR="008872AE" w:rsidRDefault="0010142D" w:rsidP="008872AE">
      <w:r>
        <w:rPr>
          <w:rStyle w:val="FootnoteReference"/>
        </w:rPr>
        <w:footnoteRef/>
      </w:r>
      <w:r>
        <w:t xml:space="preserve"> </w:t>
      </w:r>
      <w:r w:rsidR="008872AE">
        <w:t>An invitational competitive procurement is achieved by requesting a minimum of three (3) qualified vendors to submit a written proposal in response to the public</w:t>
      </w:r>
      <w:r w:rsidR="004833DE">
        <w:t xml:space="preserve"> buyer</w:t>
      </w:r>
      <w:r w:rsidR="008872AE">
        <w:t>s’ requirements.</w:t>
      </w:r>
    </w:p>
    <w:p w14:paraId="0C73E075" w14:textId="7FF21788" w:rsidR="0010142D" w:rsidRPr="001901AA" w:rsidRDefault="0010142D">
      <w:pPr>
        <w:pStyle w:val="FootnoteText"/>
        <w:rPr>
          <w:lang w:val="en-US"/>
        </w:rPr>
      </w:pPr>
    </w:p>
  </w:footnote>
  <w:footnote w:id="4">
    <w:p w14:paraId="7C3E40F4" w14:textId="43AF9E25" w:rsidR="006E7188" w:rsidRPr="00264B5C" w:rsidRDefault="006E7188" w:rsidP="006E7188">
      <w:pPr>
        <w:rPr>
          <w:b/>
          <w:bCs/>
          <w:sz w:val="18"/>
          <w:szCs w:val="18"/>
        </w:rPr>
      </w:pPr>
      <w:r>
        <w:rPr>
          <w:rStyle w:val="FootnoteReference"/>
        </w:rPr>
        <w:footnoteRef/>
      </w:r>
      <w:r>
        <w:t xml:space="preserve"> </w:t>
      </w:r>
      <w:r w:rsidRPr="00264B5C">
        <w:rPr>
          <w:sz w:val="18"/>
          <w:szCs w:val="18"/>
        </w:rPr>
        <w:t>An open competitive procurement is achieved, at a minimum, by issuing procurement documents using a designated electronic tendering system (</w:t>
      </w:r>
      <w:r w:rsidR="006B65C0" w:rsidRPr="00264B5C">
        <w:rPr>
          <w:sz w:val="18"/>
          <w:szCs w:val="18"/>
        </w:rPr>
        <w:t>e.g.</w:t>
      </w:r>
      <w:r w:rsidRPr="00264B5C">
        <w:rPr>
          <w:sz w:val="18"/>
          <w:szCs w:val="18"/>
        </w:rPr>
        <w:t>, Ontario Tenders Portal, MERX, etc.).</w:t>
      </w:r>
    </w:p>
    <w:p w14:paraId="38FA76B0" w14:textId="7B4EBA83" w:rsidR="006E7188" w:rsidRPr="0076102B" w:rsidRDefault="006E7188">
      <w:pPr>
        <w:pStyle w:val="FootnoteText"/>
        <w:rPr>
          <w:lang w:val="en-US"/>
        </w:rPr>
      </w:pPr>
    </w:p>
  </w:footnote>
  <w:footnote w:id="5">
    <w:p w14:paraId="313A0CFC" w14:textId="584343D1" w:rsidR="00844B26" w:rsidRPr="00CF2429" w:rsidRDefault="00844B26">
      <w:pPr>
        <w:pStyle w:val="FootnoteText"/>
        <w:rPr>
          <w:lang w:val="en-US"/>
        </w:rPr>
      </w:pPr>
      <w:r>
        <w:rPr>
          <w:rStyle w:val="FootnoteReference"/>
        </w:rPr>
        <w:footnoteRef/>
      </w:r>
      <w:r>
        <w:t xml:space="preserve"> </w:t>
      </w:r>
      <w:r w:rsidR="006260FE">
        <w:t xml:space="preserve">Non-competitive procurements include single source and sole source procurement processes. All non-competitive procurements are subject to appropriate </w:t>
      </w:r>
      <w:r w:rsidR="00CF2429">
        <w:t>approvals.</w:t>
      </w:r>
    </w:p>
  </w:footnote>
  <w:footnote w:id="6">
    <w:p w14:paraId="6A3287CB" w14:textId="77777777" w:rsidR="009926C3" w:rsidRPr="006E3E6F" w:rsidRDefault="009926C3" w:rsidP="009926C3">
      <w:pPr>
        <w:pStyle w:val="FootnoteText"/>
        <w:rPr>
          <w:lang w:val="en-US"/>
        </w:rPr>
      </w:pPr>
      <w:r>
        <w:rPr>
          <w:rStyle w:val="FootnoteReference"/>
        </w:rPr>
        <w:footnoteRef/>
      </w:r>
      <w:r>
        <w:t xml:space="preserve"> </w:t>
      </w:r>
      <w:r>
        <w:rPr>
          <w:lang w:val="en-US"/>
        </w:rPr>
        <w:t>Thresholds are updated biannually to adjust for inflation.</w:t>
      </w:r>
    </w:p>
  </w:footnote>
  <w:footnote w:id="7">
    <w:p w14:paraId="18AB23DA" w14:textId="77777777" w:rsidR="006D6C15" w:rsidRPr="006E3E6F" w:rsidRDefault="006D6C15" w:rsidP="006D6C15">
      <w:pPr>
        <w:pStyle w:val="FootnoteText"/>
        <w:rPr>
          <w:lang w:val="en-US"/>
        </w:rPr>
      </w:pPr>
      <w:r>
        <w:rPr>
          <w:rStyle w:val="FootnoteReference"/>
        </w:rPr>
        <w:footnoteRef/>
      </w:r>
      <w:r>
        <w:t xml:space="preserve"> </w:t>
      </w:r>
      <w:r>
        <w:rPr>
          <w:lang w:val="en-US"/>
        </w:rPr>
        <w:t>Thresholds are updated biannually to adjust for inflation.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6FAC9" w14:textId="0EFAD10E" w:rsidR="00A84B6A" w:rsidRDefault="00A84B6A" w:rsidP="00BB3524">
    <w:pPr>
      <w:pStyle w:val="Header"/>
      <w:spacing w:after="360"/>
      <w:ind w:firstLine="0"/>
      <w:jc w:val="right"/>
    </w:pPr>
    <w:r>
      <w:rPr>
        <w:noProof/>
      </w:rPr>
      <w:drawing>
        <wp:inline distT="0" distB="0" distL="0" distR="0" wp14:anchorId="53D0728A" wp14:editId="7EC70A8B">
          <wp:extent cx="1151890" cy="460375"/>
          <wp:effectExtent l="0" t="0" r="0" b="0"/>
          <wp:docPr id="15" name="Picture 15" descr="Ontario logo"/>
          <wp:cNvGraphicFramePr/>
          <a:graphic xmlns:a="http://schemas.openxmlformats.org/drawingml/2006/main">
            <a:graphicData uri="http://schemas.openxmlformats.org/drawingml/2006/picture">
              <pic:pic xmlns:pic="http://schemas.openxmlformats.org/drawingml/2006/picture">
                <pic:nvPicPr>
                  <pic:cNvPr id="7" name="Picture 7" descr="Ontario logo"/>
                  <pic:cNvPicPr/>
                </pic:nvPicPr>
                <pic:blipFill>
                  <a:blip r:embed="rId1">
                    <a:extLst>
                      <a:ext uri="{28A0092B-C50C-407E-A947-70E740481C1C}">
                        <a14:useLocalDpi xmlns:a14="http://schemas.microsoft.com/office/drawing/2010/main" val="0"/>
                      </a:ext>
                    </a:extLst>
                  </a:blip>
                  <a:stretch>
                    <a:fillRect/>
                  </a:stretch>
                </pic:blipFill>
                <pic:spPr>
                  <a:xfrm>
                    <a:off x="0" y="0"/>
                    <a:ext cx="1151890" cy="460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99431D0"/>
    <w:lvl w:ilvl="0">
      <w:start w:val="1"/>
      <w:numFmt w:val="bullet"/>
      <w:pStyle w:val="ListBullet2"/>
      <w:lvlText w:val=""/>
      <w:lvlJc w:val="left"/>
      <w:pPr>
        <w:ind w:left="643" w:hanging="360"/>
      </w:pPr>
      <w:rPr>
        <w:rFonts w:ascii="Wingdings" w:hAnsi="Wingdings" w:hint="default"/>
      </w:rPr>
    </w:lvl>
  </w:abstractNum>
  <w:abstractNum w:abstractNumId="1" w15:restartNumberingAfterBreak="0">
    <w:nsid w:val="FFFFFF88"/>
    <w:multiLevelType w:val="singleLevel"/>
    <w:tmpl w:val="D0F2560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E10AFEF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7B6AFA"/>
    <w:multiLevelType w:val="hybridMultilevel"/>
    <w:tmpl w:val="9B849620"/>
    <w:lvl w:ilvl="0" w:tplc="22FC68E2">
      <w:start w:val="1"/>
      <w:numFmt w:val="lowerLetter"/>
      <w:lvlText w:val="%1)"/>
      <w:lvlJc w:val="left"/>
      <w:pPr>
        <w:ind w:left="473" w:hanging="360"/>
      </w:pPr>
      <w:rPr>
        <w:rFonts w:hint="default"/>
      </w:rPr>
    </w:lvl>
    <w:lvl w:ilvl="1" w:tplc="10090019" w:tentative="1">
      <w:start w:val="1"/>
      <w:numFmt w:val="lowerLetter"/>
      <w:lvlText w:val="%2."/>
      <w:lvlJc w:val="left"/>
      <w:pPr>
        <w:ind w:left="1193" w:hanging="360"/>
      </w:pPr>
    </w:lvl>
    <w:lvl w:ilvl="2" w:tplc="1009001B" w:tentative="1">
      <w:start w:val="1"/>
      <w:numFmt w:val="lowerRoman"/>
      <w:lvlText w:val="%3."/>
      <w:lvlJc w:val="right"/>
      <w:pPr>
        <w:ind w:left="1913" w:hanging="180"/>
      </w:pPr>
    </w:lvl>
    <w:lvl w:ilvl="3" w:tplc="1009000F" w:tentative="1">
      <w:start w:val="1"/>
      <w:numFmt w:val="decimal"/>
      <w:lvlText w:val="%4."/>
      <w:lvlJc w:val="left"/>
      <w:pPr>
        <w:ind w:left="2633" w:hanging="360"/>
      </w:pPr>
    </w:lvl>
    <w:lvl w:ilvl="4" w:tplc="10090019" w:tentative="1">
      <w:start w:val="1"/>
      <w:numFmt w:val="lowerLetter"/>
      <w:lvlText w:val="%5."/>
      <w:lvlJc w:val="left"/>
      <w:pPr>
        <w:ind w:left="3353" w:hanging="360"/>
      </w:pPr>
    </w:lvl>
    <w:lvl w:ilvl="5" w:tplc="1009001B" w:tentative="1">
      <w:start w:val="1"/>
      <w:numFmt w:val="lowerRoman"/>
      <w:lvlText w:val="%6."/>
      <w:lvlJc w:val="right"/>
      <w:pPr>
        <w:ind w:left="4073" w:hanging="180"/>
      </w:pPr>
    </w:lvl>
    <w:lvl w:ilvl="6" w:tplc="1009000F" w:tentative="1">
      <w:start w:val="1"/>
      <w:numFmt w:val="decimal"/>
      <w:lvlText w:val="%7."/>
      <w:lvlJc w:val="left"/>
      <w:pPr>
        <w:ind w:left="4793" w:hanging="360"/>
      </w:pPr>
    </w:lvl>
    <w:lvl w:ilvl="7" w:tplc="10090019" w:tentative="1">
      <w:start w:val="1"/>
      <w:numFmt w:val="lowerLetter"/>
      <w:lvlText w:val="%8."/>
      <w:lvlJc w:val="left"/>
      <w:pPr>
        <w:ind w:left="5513" w:hanging="360"/>
      </w:pPr>
    </w:lvl>
    <w:lvl w:ilvl="8" w:tplc="1009001B" w:tentative="1">
      <w:start w:val="1"/>
      <w:numFmt w:val="lowerRoman"/>
      <w:lvlText w:val="%9."/>
      <w:lvlJc w:val="right"/>
      <w:pPr>
        <w:ind w:left="6233" w:hanging="180"/>
      </w:pPr>
    </w:lvl>
  </w:abstractNum>
  <w:abstractNum w:abstractNumId="4" w15:restartNumberingAfterBreak="0">
    <w:nsid w:val="044E5336"/>
    <w:multiLevelType w:val="hybridMultilevel"/>
    <w:tmpl w:val="F230D182"/>
    <w:lvl w:ilvl="0" w:tplc="FFFFFFFF">
      <w:start w:val="1"/>
      <w:numFmt w:val="lowerRoman"/>
      <w:lvlText w:val="%1."/>
      <w:lvlJc w:val="right"/>
      <w:pPr>
        <w:ind w:left="720" w:hanging="360"/>
      </w:pPr>
    </w:lvl>
    <w:lvl w:ilvl="1" w:tplc="0409001B">
      <w:start w:val="1"/>
      <w:numFmt w:val="lowerRoman"/>
      <w:lvlText w:val="%2."/>
      <w:lvlJc w:val="righ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5D3AE0"/>
    <w:multiLevelType w:val="hybridMultilevel"/>
    <w:tmpl w:val="69987FA6"/>
    <w:lvl w:ilvl="0" w:tplc="B0FAF7CE">
      <w:start w:val="8"/>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6F4D80"/>
    <w:multiLevelType w:val="hybridMultilevel"/>
    <w:tmpl w:val="68200B82"/>
    <w:lvl w:ilvl="0" w:tplc="FFFFFFFF">
      <w:start w:val="1"/>
      <w:numFmt w:val="decimal"/>
      <w:lvlText w:val="Step %1."/>
      <w:lvlJc w:val="left"/>
      <w:pPr>
        <w:ind w:left="720" w:hanging="360"/>
      </w:pPr>
      <w:rPr>
        <w:rFonts w:hint="default"/>
        <w:b/>
        <w:bCs/>
        <w:color w:val="006E81" w:themeColor="tex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AF29B6"/>
    <w:multiLevelType w:val="hybridMultilevel"/>
    <w:tmpl w:val="D1427E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A5E7A89"/>
    <w:multiLevelType w:val="hybridMultilevel"/>
    <w:tmpl w:val="D90652B4"/>
    <w:lvl w:ilvl="0" w:tplc="10090001">
      <w:start w:val="1"/>
      <w:numFmt w:val="bullet"/>
      <w:lvlText w:val=""/>
      <w:lvlJc w:val="left"/>
      <w:pPr>
        <w:ind w:left="360" w:hanging="360"/>
      </w:pPr>
      <w:rPr>
        <w:rFonts w:ascii="Symbol" w:hAnsi="Symbol" w:hint="default"/>
      </w:rPr>
    </w:lvl>
    <w:lvl w:ilvl="1" w:tplc="23C815B2">
      <w:start w:val="1"/>
      <w:numFmt w:val="bullet"/>
      <w:pStyle w:val="ListBullet1"/>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14715BB"/>
    <w:multiLevelType w:val="hybridMultilevel"/>
    <w:tmpl w:val="D1427E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1DB2115"/>
    <w:multiLevelType w:val="hybridMultilevel"/>
    <w:tmpl w:val="BCDCE820"/>
    <w:lvl w:ilvl="0" w:tplc="F0708288">
      <w:start w:val="1"/>
      <w:numFmt w:val="decimal"/>
      <w:lvlText w:val="Step %1."/>
      <w:lvlJc w:val="left"/>
      <w:pPr>
        <w:ind w:left="720" w:hanging="360"/>
      </w:pPr>
      <w:rPr>
        <w:rFonts w:hint="default"/>
        <w:b/>
        <w:bCs/>
        <w:color w:val="006E81" w:themeColor="tex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22429A3"/>
    <w:multiLevelType w:val="hybridMultilevel"/>
    <w:tmpl w:val="D1427E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25D283B"/>
    <w:multiLevelType w:val="hybridMultilevel"/>
    <w:tmpl w:val="39083BEC"/>
    <w:lvl w:ilvl="0" w:tplc="840A0F1C">
      <w:start w:val="22"/>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55C26A9"/>
    <w:multiLevelType w:val="hybridMultilevel"/>
    <w:tmpl w:val="89AC220A"/>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301EFB"/>
    <w:multiLevelType w:val="hybridMultilevel"/>
    <w:tmpl w:val="7ECE04C6"/>
    <w:lvl w:ilvl="0" w:tplc="690081FC">
      <w:start w:val="1"/>
      <w:numFmt w:val="lowerLetter"/>
      <w:lvlText w:val="%1)"/>
      <w:lvlJc w:val="left"/>
      <w:pPr>
        <w:ind w:left="473" w:hanging="360"/>
      </w:pPr>
      <w:rPr>
        <w:rFonts w:hint="default"/>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15" w15:restartNumberingAfterBreak="0">
    <w:nsid w:val="18E25737"/>
    <w:multiLevelType w:val="hybridMultilevel"/>
    <w:tmpl w:val="65F6E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68746C"/>
    <w:multiLevelType w:val="hybridMultilevel"/>
    <w:tmpl w:val="4E4887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1C7D1687"/>
    <w:multiLevelType w:val="hybridMultilevel"/>
    <w:tmpl w:val="E9B8F0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CF10F07"/>
    <w:multiLevelType w:val="hybridMultilevel"/>
    <w:tmpl w:val="38406A4A"/>
    <w:lvl w:ilvl="0" w:tplc="0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D3F2094"/>
    <w:multiLevelType w:val="hybridMultilevel"/>
    <w:tmpl w:val="1E10B5E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1F622CF5"/>
    <w:multiLevelType w:val="hybridMultilevel"/>
    <w:tmpl w:val="7792A01A"/>
    <w:lvl w:ilvl="0" w:tplc="BEEACE90">
      <w:start w:val="1"/>
      <w:numFmt w:val="decimal"/>
      <w:lvlText w:val="Appendix A.%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3A114A"/>
    <w:multiLevelType w:val="hybridMultilevel"/>
    <w:tmpl w:val="D1427ED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11E3E23"/>
    <w:multiLevelType w:val="hybridMultilevel"/>
    <w:tmpl w:val="28BC3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490755"/>
    <w:multiLevelType w:val="hybridMultilevel"/>
    <w:tmpl w:val="CCCAD530"/>
    <w:lvl w:ilvl="0" w:tplc="2AEE5C8E">
      <w:start w:val="1"/>
      <w:numFmt w:val="decimal"/>
      <w:lvlText w:val="Step %1."/>
      <w:lvlJc w:val="left"/>
      <w:pPr>
        <w:ind w:left="720" w:hanging="360"/>
      </w:pPr>
      <w:rPr>
        <w:rFonts w:hint="default"/>
        <w:b/>
        <w:bCs/>
        <w:color w:val="006E81" w:themeColor="tex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703525D"/>
    <w:multiLevelType w:val="hybridMultilevel"/>
    <w:tmpl w:val="1A8A95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28020D55"/>
    <w:multiLevelType w:val="hybridMultilevel"/>
    <w:tmpl w:val="53FC7564"/>
    <w:lvl w:ilvl="0" w:tplc="350A484E">
      <w:start w:val="1"/>
      <w:numFmt w:val="lowerLetter"/>
      <w:lvlText w:val="%1)"/>
      <w:lvlJc w:val="left"/>
      <w:pPr>
        <w:ind w:left="473" w:hanging="360"/>
      </w:pPr>
      <w:rPr>
        <w:rFonts w:hint="default"/>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26" w15:restartNumberingAfterBreak="0">
    <w:nsid w:val="2B1C1A15"/>
    <w:multiLevelType w:val="hybridMultilevel"/>
    <w:tmpl w:val="D1427E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BBE479B"/>
    <w:multiLevelType w:val="hybridMultilevel"/>
    <w:tmpl w:val="AE768690"/>
    <w:lvl w:ilvl="0" w:tplc="10090001">
      <w:start w:val="1"/>
      <w:numFmt w:val="bullet"/>
      <w:lvlText w:val=""/>
      <w:lvlJc w:val="left"/>
      <w:pPr>
        <w:ind w:left="1874" w:hanging="360"/>
      </w:pPr>
      <w:rPr>
        <w:rFonts w:ascii="Symbol" w:hAnsi="Symbol" w:hint="default"/>
      </w:rPr>
    </w:lvl>
    <w:lvl w:ilvl="1" w:tplc="FFFFFFFF" w:tentative="1">
      <w:start w:val="1"/>
      <w:numFmt w:val="lowerLetter"/>
      <w:lvlText w:val="%2."/>
      <w:lvlJc w:val="left"/>
      <w:pPr>
        <w:ind w:left="2594" w:hanging="360"/>
      </w:pPr>
    </w:lvl>
    <w:lvl w:ilvl="2" w:tplc="FFFFFFFF" w:tentative="1">
      <w:start w:val="1"/>
      <w:numFmt w:val="lowerRoman"/>
      <w:lvlText w:val="%3."/>
      <w:lvlJc w:val="right"/>
      <w:pPr>
        <w:ind w:left="3314" w:hanging="180"/>
      </w:pPr>
    </w:lvl>
    <w:lvl w:ilvl="3" w:tplc="FFFFFFFF" w:tentative="1">
      <w:start w:val="1"/>
      <w:numFmt w:val="decimal"/>
      <w:lvlText w:val="%4."/>
      <w:lvlJc w:val="left"/>
      <w:pPr>
        <w:ind w:left="4034" w:hanging="360"/>
      </w:pPr>
    </w:lvl>
    <w:lvl w:ilvl="4" w:tplc="FFFFFFFF" w:tentative="1">
      <w:start w:val="1"/>
      <w:numFmt w:val="lowerLetter"/>
      <w:lvlText w:val="%5."/>
      <w:lvlJc w:val="left"/>
      <w:pPr>
        <w:ind w:left="4754" w:hanging="360"/>
      </w:pPr>
    </w:lvl>
    <w:lvl w:ilvl="5" w:tplc="FFFFFFFF" w:tentative="1">
      <w:start w:val="1"/>
      <w:numFmt w:val="lowerRoman"/>
      <w:lvlText w:val="%6."/>
      <w:lvlJc w:val="right"/>
      <w:pPr>
        <w:ind w:left="5474" w:hanging="180"/>
      </w:pPr>
    </w:lvl>
    <w:lvl w:ilvl="6" w:tplc="FFFFFFFF" w:tentative="1">
      <w:start w:val="1"/>
      <w:numFmt w:val="decimal"/>
      <w:lvlText w:val="%7."/>
      <w:lvlJc w:val="left"/>
      <w:pPr>
        <w:ind w:left="6194" w:hanging="360"/>
      </w:pPr>
    </w:lvl>
    <w:lvl w:ilvl="7" w:tplc="FFFFFFFF" w:tentative="1">
      <w:start w:val="1"/>
      <w:numFmt w:val="lowerLetter"/>
      <w:lvlText w:val="%8."/>
      <w:lvlJc w:val="left"/>
      <w:pPr>
        <w:ind w:left="6914" w:hanging="360"/>
      </w:pPr>
    </w:lvl>
    <w:lvl w:ilvl="8" w:tplc="FFFFFFFF" w:tentative="1">
      <w:start w:val="1"/>
      <w:numFmt w:val="lowerRoman"/>
      <w:lvlText w:val="%9."/>
      <w:lvlJc w:val="right"/>
      <w:pPr>
        <w:ind w:left="7634" w:hanging="180"/>
      </w:pPr>
    </w:lvl>
  </w:abstractNum>
  <w:abstractNum w:abstractNumId="28" w15:restartNumberingAfterBreak="0">
    <w:nsid w:val="385001DF"/>
    <w:multiLevelType w:val="hybridMultilevel"/>
    <w:tmpl w:val="EB8AA65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9995755"/>
    <w:multiLevelType w:val="hybridMultilevel"/>
    <w:tmpl w:val="9830F956"/>
    <w:lvl w:ilvl="0" w:tplc="FFFFFFFF">
      <w:start w:val="1"/>
      <w:numFmt w:val="decimal"/>
      <w:lvlText w:val="Step %1."/>
      <w:lvlJc w:val="left"/>
      <w:pPr>
        <w:ind w:left="720" w:hanging="360"/>
      </w:pPr>
      <w:rPr>
        <w:rFonts w:hint="default"/>
        <w:color w:val="006E81" w:themeColor="text2"/>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Wingdings" w:hAnsi="Wingdings" w:hint="default"/>
      </w:rPr>
    </w:lvl>
    <w:lvl w:ilvl="4" w:tplc="FFFFFFFF">
      <w:start w:val="1"/>
      <w:numFmt w:val="lowerLetter"/>
      <w:lvlText w:val="%5)"/>
      <w:lvlJc w:val="left"/>
      <w:pPr>
        <w:ind w:left="3600" w:hanging="360"/>
      </w:pPr>
      <w:rPr>
        <w:rFont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CAB34A0"/>
    <w:multiLevelType w:val="hybridMultilevel"/>
    <w:tmpl w:val="78E2E728"/>
    <w:lvl w:ilvl="0" w:tplc="FFFFFFFF">
      <w:start w:val="1"/>
      <w:numFmt w:val="decimal"/>
      <w:lvlText w:val="Step %1."/>
      <w:lvlJc w:val="left"/>
      <w:pPr>
        <w:ind w:left="720" w:hanging="360"/>
      </w:pPr>
      <w:rPr>
        <w:rFonts w:hint="default"/>
        <w:b/>
        <w:bCs/>
        <w:color w:val="006E81" w:themeColor="tex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EA6338F"/>
    <w:multiLevelType w:val="hybridMultilevel"/>
    <w:tmpl w:val="405091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EBC6874"/>
    <w:multiLevelType w:val="hybridMultilevel"/>
    <w:tmpl w:val="EE76B57C"/>
    <w:lvl w:ilvl="0" w:tplc="2288FE04">
      <w:start w:val="1"/>
      <w:numFmt w:val="lowerLetter"/>
      <w:lvlText w:val="%1)"/>
      <w:lvlJc w:val="left"/>
      <w:pPr>
        <w:ind w:left="473" w:hanging="360"/>
      </w:pPr>
      <w:rPr>
        <w:rFonts w:hint="default"/>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33" w15:restartNumberingAfterBreak="0">
    <w:nsid w:val="434A2F73"/>
    <w:multiLevelType w:val="hybridMultilevel"/>
    <w:tmpl w:val="52C835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39B606E"/>
    <w:multiLevelType w:val="hybridMultilevel"/>
    <w:tmpl w:val="D1427E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6FBACC1"/>
    <w:multiLevelType w:val="hybridMultilevel"/>
    <w:tmpl w:val="B096096C"/>
    <w:lvl w:ilvl="0" w:tplc="E006EF58">
      <w:start w:val="1"/>
      <w:numFmt w:val="decimal"/>
      <w:lvlText w:val="%1."/>
      <w:lvlJc w:val="left"/>
      <w:pPr>
        <w:ind w:left="360" w:hanging="360"/>
      </w:pPr>
    </w:lvl>
    <w:lvl w:ilvl="1" w:tplc="FB60368A">
      <w:start w:val="1"/>
      <w:numFmt w:val="lowerLetter"/>
      <w:lvlText w:val="%2."/>
      <w:lvlJc w:val="left"/>
      <w:pPr>
        <w:ind w:left="1080" w:hanging="360"/>
      </w:pPr>
    </w:lvl>
    <w:lvl w:ilvl="2" w:tplc="CD8E73F6">
      <w:start w:val="1"/>
      <w:numFmt w:val="lowerRoman"/>
      <w:lvlText w:val="%3."/>
      <w:lvlJc w:val="right"/>
      <w:pPr>
        <w:ind w:left="1800" w:hanging="180"/>
      </w:pPr>
    </w:lvl>
    <w:lvl w:ilvl="3" w:tplc="252EC338">
      <w:start w:val="1"/>
      <w:numFmt w:val="decimal"/>
      <w:lvlText w:val="%4."/>
      <w:lvlJc w:val="left"/>
      <w:pPr>
        <w:ind w:left="2520" w:hanging="360"/>
      </w:pPr>
    </w:lvl>
    <w:lvl w:ilvl="4" w:tplc="B84495F0">
      <w:start w:val="1"/>
      <w:numFmt w:val="lowerLetter"/>
      <w:lvlText w:val="%5."/>
      <w:lvlJc w:val="left"/>
      <w:pPr>
        <w:ind w:left="3240" w:hanging="360"/>
      </w:pPr>
    </w:lvl>
    <w:lvl w:ilvl="5" w:tplc="C1C094B8">
      <w:start w:val="1"/>
      <w:numFmt w:val="lowerRoman"/>
      <w:lvlText w:val="%6."/>
      <w:lvlJc w:val="right"/>
      <w:pPr>
        <w:ind w:left="3960" w:hanging="180"/>
      </w:pPr>
    </w:lvl>
    <w:lvl w:ilvl="6" w:tplc="E0AE186E">
      <w:start w:val="1"/>
      <w:numFmt w:val="decimal"/>
      <w:lvlText w:val="%7."/>
      <w:lvlJc w:val="left"/>
      <w:pPr>
        <w:ind w:left="4680" w:hanging="360"/>
      </w:pPr>
    </w:lvl>
    <w:lvl w:ilvl="7" w:tplc="8864F862">
      <w:start w:val="1"/>
      <w:numFmt w:val="lowerLetter"/>
      <w:lvlText w:val="%8."/>
      <w:lvlJc w:val="left"/>
      <w:pPr>
        <w:ind w:left="5400" w:hanging="360"/>
      </w:pPr>
    </w:lvl>
    <w:lvl w:ilvl="8" w:tplc="58A62AF8">
      <w:start w:val="1"/>
      <w:numFmt w:val="lowerRoman"/>
      <w:lvlText w:val="%9."/>
      <w:lvlJc w:val="right"/>
      <w:pPr>
        <w:ind w:left="6120" w:hanging="180"/>
      </w:pPr>
    </w:lvl>
  </w:abstractNum>
  <w:abstractNum w:abstractNumId="36" w15:restartNumberingAfterBreak="0">
    <w:nsid w:val="4C203C4D"/>
    <w:multiLevelType w:val="hybridMultilevel"/>
    <w:tmpl w:val="31CCAD0E"/>
    <w:lvl w:ilvl="0" w:tplc="70700A82">
      <w:start w:val="1"/>
      <w:numFmt w:val="lowerLetter"/>
      <w:lvlText w:val="%1)"/>
      <w:lvlJc w:val="left"/>
      <w:pPr>
        <w:ind w:left="473" w:hanging="360"/>
      </w:pPr>
      <w:rPr>
        <w:rFonts w:hint="default"/>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37" w15:restartNumberingAfterBreak="0">
    <w:nsid w:val="4D987CA9"/>
    <w:multiLevelType w:val="hybridMultilevel"/>
    <w:tmpl w:val="27868F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4DCE1351"/>
    <w:multiLevelType w:val="hybridMultilevel"/>
    <w:tmpl w:val="A00C7B16"/>
    <w:lvl w:ilvl="0" w:tplc="FFFFFFF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15:restartNumberingAfterBreak="0">
    <w:nsid w:val="4E915DAC"/>
    <w:multiLevelType w:val="hybridMultilevel"/>
    <w:tmpl w:val="E6201D52"/>
    <w:lvl w:ilvl="0" w:tplc="FFFFFFFF">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04090003">
      <w:start w:val="1"/>
      <w:numFmt w:val="bullet"/>
      <w:lvlText w:val="o"/>
      <w:lvlJc w:val="left"/>
      <w:pPr>
        <w:ind w:left="3600" w:hanging="360"/>
      </w:pPr>
      <w:rPr>
        <w:rFonts w:ascii="Courier New" w:hAnsi="Courier New" w:cs="Courier New"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0" w15:restartNumberingAfterBreak="0">
    <w:nsid w:val="4EDB5CD6"/>
    <w:multiLevelType w:val="hybridMultilevel"/>
    <w:tmpl w:val="92B483F2"/>
    <w:lvl w:ilvl="0" w:tplc="44FC003C">
      <w:start w:val="15"/>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501573D2"/>
    <w:multiLevelType w:val="hybridMultilevel"/>
    <w:tmpl w:val="43FEDD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515B58BB"/>
    <w:multiLevelType w:val="hybridMultilevel"/>
    <w:tmpl w:val="6ECE3894"/>
    <w:lvl w:ilvl="0" w:tplc="10090017">
      <w:start w:val="1"/>
      <w:numFmt w:val="lowerLetter"/>
      <w:lvlText w:val="%1)"/>
      <w:lvlJc w:val="left"/>
      <w:pPr>
        <w:ind w:left="473" w:hanging="360"/>
      </w:pPr>
      <w:rPr>
        <w:rFonts w:hint="default"/>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43" w15:restartNumberingAfterBreak="0">
    <w:nsid w:val="526F2FB6"/>
    <w:multiLevelType w:val="multilevel"/>
    <w:tmpl w:val="B03A5652"/>
    <w:lvl w:ilvl="0">
      <w:start w:val="1"/>
      <w:numFmt w:val="decimal"/>
      <w:lvlText w:val="%1"/>
      <w:lvlJc w:val="left"/>
      <w:pPr>
        <w:ind w:left="-134" w:hanging="432"/>
      </w:pPr>
      <w:rPr>
        <w:rFonts w:hint="default"/>
      </w:rPr>
    </w:lvl>
    <w:lvl w:ilvl="1">
      <w:start w:val="1"/>
      <w:numFmt w:val="decimal"/>
      <w:lvlText w:val="%1.%2"/>
      <w:lvlJc w:val="left"/>
      <w:pPr>
        <w:ind w:left="5395" w:hanging="576"/>
      </w:pPr>
      <w:rPr>
        <w:rFonts w:hint="default"/>
      </w:rPr>
    </w:lvl>
    <w:lvl w:ilvl="2">
      <w:start w:val="1"/>
      <w:numFmt w:val="decimal"/>
      <w:lvlText w:val="%1.%2.%3"/>
      <w:lvlJc w:val="left"/>
      <w:pPr>
        <w:ind w:left="3272" w:hanging="720"/>
      </w:pPr>
      <w:rPr>
        <w:rFonts w:hint="default"/>
        <w:sz w:val="30"/>
        <w:szCs w:val="30"/>
      </w:rPr>
    </w:lvl>
    <w:lvl w:ilvl="3">
      <w:start w:val="1"/>
      <w:numFmt w:val="decimal"/>
      <w:pStyle w:val="Heading4"/>
      <w:lvlText w:val="%1.%2.%3.%4"/>
      <w:lvlJc w:val="left"/>
      <w:pPr>
        <w:ind w:left="-270" w:hanging="864"/>
      </w:pPr>
      <w:rPr>
        <w:rFonts w:hint="default"/>
      </w:rPr>
    </w:lvl>
    <w:lvl w:ilvl="4">
      <w:start w:val="1"/>
      <w:numFmt w:val="decimal"/>
      <w:pStyle w:val="Heading5"/>
      <w:lvlText w:val="%1.%2.%3.%4.%5"/>
      <w:lvlJc w:val="left"/>
      <w:pPr>
        <w:ind w:left="-126" w:hanging="1008"/>
      </w:pPr>
      <w:rPr>
        <w:rFonts w:hint="default"/>
      </w:rPr>
    </w:lvl>
    <w:lvl w:ilvl="5">
      <w:start w:val="1"/>
      <w:numFmt w:val="decimal"/>
      <w:pStyle w:val="Heading6"/>
      <w:lvlText w:val="%1.%2.%3.%4.%5.%6"/>
      <w:lvlJc w:val="left"/>
      <w:pPr>
        <w:ind w:left="18" w:hanging="1152"/>
      </w:pPr>
      <w:rPr>
        <w:rFonts w:hint="default"/>
      </w:rPr>
    </w:lvl>
    <w:lvl w:ilvl="6">
      <w:start w:val="1"/>
      <w:numFmt w:val="decimal"/>
      <w:pStyle w:val="Heading7"/>
      <w:lvlText w:val="%1.%2.%3.%4.%5.%6.%7"/>
      <w:lvlJc w:val="left"/>
      <w:pPr>
        <w:ind w:left="162" w:hanging="1296"/>
      </w:pPr>
      <w:rPr>
        <w:rFonts w:hint="default"/>
      </w:rPr>
    </w:lvl>
    <w:lvl w:ilvl="7">
      <w:start w:val="1"/>
      <w:numFmt w:val="decimal"/>
      <w:pStyle w:val="Heading8"/>
      <w:lvlText w:val="%1.%2.%3.%4.%5.%6.%7.%8"/>
      <w:lvlJc w:val="left"/>
      <w:pPr>
        <w:ind w:left="306" w:hanging="1440"/>
      </w:pPr>
      <w:rPr>
        <w:rFonts w:hint="default"/>
      </w:rPr>
    </w:lvl>
    <w:lvl w:ilvl="8">
      <w:start w:val="1"/>
      <w:numFmt w:val="decimal"/>
      <w:pStyle w:val="Heading9"/>
      <w:lvlText w:val="%1.%2.%3.%4.%5.%6.%7.%8.%9"/>
      <w:lvlJc w:val="left"/>
      <w:pPr>
        <w:ind w:left="450" w:hanging="1584"/>
      </w:pPr>
      <w:rPr>
        <w:rFonts w:hint="default"/>
      </w:rPr>
    </w:lvl>
  </w:abstractNum>
  <w:abstractNum w:abstractNumId="44" w15:restartNumberingAfterBreak="0">
    <w:nsid w:val="53FB7B51"/>
    <w:multiLevelType w:val="hybridMultilevel"/>
    <w:tmpl w:val="286628F0"/>
    <w:lvl w:ilvl="0" w:tplc="04BCECF8">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6748D2"/>
    <w:multiLevelType w:val="hybridMultilevel"/>
    <w:tmpl w:val="CDB4242A"/>
    <w:lvl w:ilvl="0" w:tplc="FFFFFFFF">
      <w:start w:val="1"/>
      <w:numFmt w:val="lowerRoman"/>
      <w:lvlText w:val="%1."/>
      <w:lvlJc w:val="right"/>
      <w:pPr>
        <w:ind w:left="1620" w:hanging="18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6" w15:restartNumberingAfterBreak="0">
    <w:nsid w:val="552534B8"/>
    <w:multiLevelType w:val="hybridMultilevel"/>
    <w:tmpl w:val="E8C674AA"/>
    <w:lvl w:ilvl="0" w:tplc="3FC00EFE">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E2B6905"/>
    <w:multiLevelType w:val="hybridMultilevel"/>
    <w:tmpl w:val="85DCEE16"/>
    <w:lvl w:ilvl="0" w:tplc="10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5EBC0A01"/>
    <w:multiLevelType w:val="hybridMultilevel"/>
    <w:tmpl w:val="D1427E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3D526BA"/>
    <w:multiLevelType w:val="hybridMultilevel"/>
    <w:tmpl w:val="570CD7F8"/>
    <w:lvl w:ilvl="0" w:tplc="513E3446">
      <w:start w:val="1"/>
      <w:numFmt w:val="decimal"/>
      <w:pStyle w:val="SummaryText"/>
      <w:lvlText w:val="%1."/>
      <w:lvlJc w:val="left"/>
      <w:pPr>
        <w:ind w:left="926" w:hanging="360"/>
      </w:pPr>
    </w:lvl>
    <w:lvl w:ilvl="1" w:tplc="08090019">
      <w:start w:val="1"/>
      <w:numFmt w:val="lowerLetter"/>
      <w:lvlText w:val="%2."/>
      <w:lvlJc w:val="left"/>
      <w:pPr>
        <w:ind w:left="1646" w:hanging="360"/>
      </w:pPr>
    </w:lvl>
    <w:lvl w:ilvl="2" w:tplc="0809001B" w:tentative="1">
      <w:start w:val="1"/>
      <w:numFmt w:val="lowerRoman"/>
      <w:lvlText w:val="%3."/>
      <w:lvlJc w:val="right"/>
      <w:pPr>
        <w:ind w:left="2366" w:hanging="180"/>
      </w:pPr>
    </w:lvl>
    <w:lvl w:ilvl="3" w:tplc="0809000F" w:tentative="1">
      <w:start w:val="1"/>
      <w:numFmt w:val="decimal"/>
      <w:lvlText w:val="%4."/>
      <w:lvlJc w:val="left"/>
      <w:pPr>
        <w:ind w:left="3086" w:hanging="360"/>
      </w:pPr>
    </w:lvl>
    <w:lvl w:ilvl="4" w:tplc="08090019" w:tentative="1">
      <w:start w:val="1"/>
      <w:numFmt w:val="lowerLetter"/>
      <w:lvlText w:val="%5."/>
      <w:lvlJc w:val="left"/>
      <w:pPr>
        <w:ind w:left="3806" w:hanging="360"/>
      </w:pPr>
    </w:lvl>
    <w:lvl w:ilvl="5" w:tplc="0809001B" w:tentative="1">
      <w:start w:val="1"/>
      <w:numFmt w:val="lowerRoman"/>
      <w:lvlText w:val="%6."/>
      <w:lvlJc w:val="right"/>
      <w:pPr>
        <w:ind w:left="4526" w:hanging="180"/>
      </w:pPr>
    </w:lvl>
    <w:lvl w:ilvl="6" w:tplc="0809000F" w:tentative="1">
      <w:start w:val="1"/>
      <w:numFmt w:val="decimal"/>
      <w:lvlText w:val="%7."/>
      <w:lvlJc w:val="left"/>
      <w:pPr>
        <w:ind w:left="5246" w:hanging="360"/>
      </w:pPr>
    </w:lvl>
    <w:lvl w:ilvl="7" w:tplc="08090019" w:tentative="1">
      <w:start w:val="1"/>
      <w:numFmt w:val="lowerLetter"/>
      <w:lvlText w:val="%8."/>
      <w:lvlJc w:val="left"/>
      <w:pPr>
        <w:ind w:left="5966" w:hanging="360"/>
      </w:pPr>
    </w:lvl>
    <w:lvl w:ilvl="8" w:tplc="0809001B" w:tentative="1">
      <w:start w:val="1"/>
      <w:numFmt w:val="lowerRoman"/>
      <w:lvlText w:val="%9."/>
      <w:lvlJc w:val="right"/>
      <w:pPr>
        <w:ind w:left="6686" w:hanging="180"/>
      </w:pPr>
    </w:lvl>
  </w:abstractNum>
  <w:abstractNum w:abstractNumId="50" w15:restartNumberingAfterBreak="0">
    <w:nsid w:val="658A3E73"/>
    <w:multiLevelType w:val="hybridMultilevel"/>
    <w:tmpl w:val="68200B82"/>
    <w:lvl w:ilvl="0" w:tplc="E32EDBB6">
      <w:start w:val="1"/>
      <w:numFmt w:val="decimal"/>
      <w:lvlText w:val="Step %1."/>
      <w:lvlJc w:val="left"/>
      <w:pPr>
        <w:ind w:left="720" w:hanging="360"/>
      </w:pPr>
      <w:rPr>
        <w:rFonts w:hint="default"/>
        <w:b/>
        <w:bCs/>
        <w:color w:val="006E81" w:themeColor="text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66150FB1"/>
    <w:multiLevelType w:val="hybridMultilevel"/>
    <w:tmpl w:val="6AD6F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5750E1"/>
    <w:multiLevelType w:val="hybridMultilevel"/>
    <w:tmpl w:val="BCDCE820"/>
    <w:lvl w:ilvl="0" w:tplc="FFFFFFFF">
      <w:start w:val="1"/>
      <w:numFmt w:val="decimal"/>
      <w:lvlText w:val="Step %1."/>
      <w:lvlJc w:val="left"/>
      <w:pPr>
        <w:ind w:left="720" w:hanging="360"/>
      </w:pPr>
      <w:rPr>
        <w:rFonts w:hint="default"/>
        <w:b/>
        <w:bCs/>
        <w:color w:val="006E81" w:themeColor="tex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99D7733"/>
    <w:multiLevelType w:val="hybridMultilevel"/>
    <w:tmpl w:val="708C1222"/>
    <w:lvl w:ilvl="0" w:tplc="1009000F">
      <w:start w:val="1"/>
      <w:numFmt w:val="decimal"/>
      <w:lvlText w:val="%1."/>
      <w:lvlJc w:val="left"/>
      <w:pPr>
        <w:ind w:left="360" w:hanging="360"/>
      </w:pPr>
    </w:lvl>
    <w:lvl w:ilvl="1" w:tplc="10090019" w:tentative="1">
      <w:start w:val="1"/>
      <w:numFmt w:val="lowerLetter"/>
      <w:lvlText w:val="%2."/>
      <w:lvlJc w:val="left"/>
      <w:pPr>
        <w:ind w:left="0" w:hanging="360"/>
      </w:pPr>
    </w:lvl>
    <w:lvl w:ilvl="2" w:tplc="1009001B" w:tentative="1">
      <w:start w:val="1"/>
      <w:numFmt w:val="lowerRoman"/>
      <w:lvlText w:val="%3."/>
      <w:lvlJc w:val="right"/>
      <w:pPr>
        <w:ind w:left="720" w:hanging="180"/>
      </w:pPr>
    </w:lvl>
    <w:lvl w:ilvl="3" w:tplc="1009000F" w:tentative="1">
      <w:start w:val="1"/>
      <w:numFmt w:val="decimal"/>
      <w:lvlText w:val="%4."/>
      <w:lvlJc w:val="left"/>
      <w:pPr>
        <w:ind w:left="1440" w:hanging="360"/>
      </w:pPr>
    </w:lvl>
    <w:lvl w:ilvl="4" w:tplc="10090019" w:tentative="1">
      <w:start w:val="1"/>
      <w:numFmt w:val="lowerLetter"/>
      <w:lvlText w:val="%5."/>
      <w:lvlJc w:val="left"/>
      <w:pPr>
        <w:ind w:left="2160" w:hanging="360"/>
      </w:pPr>
    </w:lvl>
    <w:lvl w:ilvl="5" w:tplc="1009001B" w:tentative="1">
      <w:start w:val="1"/>
      <w:numFmt w:val="lowerRoman"/>
      <w:lvlText w:val="%6."/>
      <w:lvlJc w:val="right"/>
      <w:pPr>
        <w:ind w:left="2880" w:hanging="180"/>
      </w:pPr>
    </w:lvl>
    <w:lvl w:ilvl="6" w:tplc="1009000F" w:tentative="1">
      <w:start w:val="1"/>
      <w:numFmt w:val="decimal"/>
      <w:lvlText w:val="%7."/>
      <w:lvlJc w:val="left"/>
      <w:pPr>
        <w:ind w:left="3600" w:hanging="360"/>
      </w:pPr>
    </w:lvl>
    <w:lvl w:ilvl="7" w:tplc="10090019" w:tentative="1">
      <w:start w:val="1"/>
      <w:numFmt w:val="lowerLetter"/>
      <w:lvlText w:val="%8."/>
      <w:lvlJc w:val="left"/>
      <w:pPr>
        <w:ind w:left="4320" w:hanging="360"/>
      </w:pPr>
    </w:lvl>
    <w:lvl w:ilvl="8" w:tplc="1009001B" w:tentative="1">
      <w:start w:val="1"/>
      <w:numFmt w:val="lowerRoman"/>
      <w:lvlText w:val="%9."/>
      <w:lvlJc w:val="right"/>
      <w:pPr>
        <w:ind w:left="5040" w:hanging="180"/>
      </w:pPr>
    </w:lvl>
  </w:abstractNum>
  <w:abstractNum w:abstractNumId="54" w15:restartNumberingAfterBreak="0">
    <w:nsid w:val="6D330B11"/>
    <w:multiLevelType w:val="hybridMultilevel"/>
    <w:tmpl w:val="57C48FBA"/>
    <w:lvl w:ilvl="0" w:tplc="BE345FFC">
      <w:start w:val="1"/>
      <w:numFmt w:val="lowerLetter"/>
      <w:lvlText w:val="%1)"/>
      <w:lvlJc w:val="left"/>
      <w:pPr>
        <w:ind w:left="473" w:hanging="360"/>
      </w:pPr>
      <w:rPr>
        <w:rFonts w:hint="default"/>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55" w15:restartNumberingAfterBreak="0">
    <w:nsid w:val="6E946939"/>
    <w:multiLevelType w:val="hybridMultilevel"/>
    <w:tmpl w:val="D1AC3096"/>
    <w:lvl w:ilvl="0" w:tplc="4E64DDBE">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720F5A"/>
    <w:multiLevelType w:val="hybridMultilevel"/>
    <w:tmpl w:val="D1427E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95628E9"/>
    <w:multiLevelType w:val="hybridMultilevel"/>
    <w:tmpl w:val="3D2AFE1A"/>
    <w:lvl w:ilvl="0" w:tplc="26E0E0B4">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7D6857BC"/>
    <w:multiLevelType w:val="hybridMultilevel"/>
    <w:tmpl w:val="0A049488"/>
    <w:lvl w:ilvl="0" w:tplc="2326C9D2">
      <w:start w:val="1"/>
      <w:numFmt w:val="lowerLetter"/>
      <w:lvlText w:val="%1)"/>
      <w:lvlJc w:val="left"/>
      <w:pPr>
        <w:ind w:left="473" w:hanging="360"/>
      </w:pPr>
      <w:rPr>
        <w:rFonts w:hint="default"/>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59" w15:restartNumberingAfterBreak="0">
    <w:nsid w:val="7F9C5EBF"/>
    <w:multiLevelType w:val="hybridMultilevel"/>
    <w:tmpl w:val="44CCBBC8"/>
    <w:lvl w:ilvl="0" w:tplc="5C384294">
      <w:start w:val="1"/>
      <w:numFmt w:val="lowerLetter"/>
      <w:pStyle w:val="ListBullet3"/>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002897922">
    <w:abstractNumId w:val="8"/>
  </w:num>
  <w:num w:numId="2" w16cid:durableId="1273779763">
    <w:abstractNumId w:val="0"/>
  </w:num>
  <w:num w:numId="3" w16cid:durableId="59059271">
    <w:abstractNumId w:val="2"/>
  </w:num>
  <w:num w:numId="4" w16cid:durableId="1647784237">
    <w:abstractNumId w:val="1"/>
  </w:num>
  <w:num w:numId="5" w16cid:durableId="2020111194">
    <w:abstractNumId w:val="49"/>
  </w:num>
  <w:num w:numId="6" w16cid:durableId="852767683">
    <w:abstractNumId w:val="43"/>
  </w:num>
  <w:num w:numId="7" w16cid:durableId="2042585909">
    <w:abstractNumId w:val="59"/>
  </w:num>
  <w:num w:numId="8" w16cid:durableId="2015646183">
    <w:abstractNumId w:val="28"/>
  </w:num>
  <w:num w:numId="9" w16cid:durableId="1547527192">
    <w:abstractNumId w:val="50"/>
  </w:num>
  <w:num w:numId="10" w16cid:durableId="1820999814">
    <w:abstractNumId w:val="23"/>
  </w:num>
  <w:num w:numId="11" w16cid:durableId="1920166084">
    <w:abstractNumId w:val="10"/>
  </w:num>
  <w:num w:numId="12" w16cid:durableId="1207377953">
    <w:abstractNumId w:val="21"/>
  </w:num>
  <w:num w:numId="13" w16cid:durableId="1774860798">
    <w:abstractNumId w:val="3"/>
  </w:num>
  <w:num w:numId="14" w16cid:durableId="404765652">
    <w:abstractNumId w:val="47"/>
  </w:num>
  <w:num w:numId="15" w16cid:durableId="1194417494">
    <w:abstractNumId w:val="57"/>
  </w:num>
  <w:num w:numId="16" w16cid:durableId="737173647">
    <w:abstractNumId w:val="48"/>
  </w:num>
  <w:num w:numId="17" w16cid:durableId="1098983101">
    <w:abstractNumId w:val="36"/>
  </w:num>
  <w:num w:numId="18" w16cid:durableId="1421483692">
    <w:abstractNumId w:val="56"/>
  </w:num>
  <w:num w:numId="19" w16cid:durableId="173307091">
    <w:abstractNumId w:val="58"/>
  </w:num>
  <w:num w:numId="20" w16cid:durableId="1510170450">
    <w:abstractNumId w:val="9"/>
  </w:num>
  <w:num w:numId="21" w16cid:durableId="1184518412">
    <w:abstractNumId w:val="42"/>
  </w:num>
  <w:num w:numId="22" w16cid:durableId="573204487">
    <w:abstractNumId w:val="11"/>
  </w:num>
  <w:num w:numId="23" w16cid:durableId="1202475045">
    <w:abstractNumId w:val="32"/>
  </w:num>
  <w:num w:numId="24" w16cid:durableId="314917230">
    <w:abstractNumId w:val="34"/>
  </w:num>
  <w:num w:numId="25" w16cid:durableId="797576070">
    <w:abstractNumId w:val="25"/>
  </w:num>
  <w:num w:numId="26" w16cid:durableId="1243178795">
    <w:abstractNumId w:val="27"/>
  </w:num>
  <w:num w:numId="27" w16cid:durableId="259072492">
    <w:abstractNumId w:val="26"/>
  </w:num>
  <w:num w:numId="28" w16cid:durableId="316302984">
    <w:abstractNumId w:val="54"/>
  </w:num>
  <w:num w:numId="29" w16cid:durableId="1912931322">
    <w:abstractNumId w:val="7"/>
  </w:num>
  <w:num w:numId="30" w16cid:durableId="2034916244">
    <w:abstractNumId w:val="14"/>
  </w:num>
  <w:num w:numId="31" w16cid:durableId="260652528">
    <w:abstractNumId w:val="35"/>
  </w:num>
  <w:num w:numId="32" w16cid:durableId="412438252">
    <w:abstractNumId w:val="53"/>
  </w:num>
  <w:num w:numId="33" w16cid:durableId="1214345454">
    <w:abstractNumId w:val="17"/>
  </w:num>
  <w:num w:numId="34" w16cid:durableId="870728389">
    <w:abstractNumId w:val="37"/>
  </w:num>
  <w:num w:numId="35" w16cid:durableId="232859755">
    <w:abstractNumId w:val="41"/>
  </w:num>
  <w:num w:numId="36" w16cid:durableId="722413160">
    <w:abstractNumId w:val="16"/>
  </w:num>
  <w:num w:numId="37" w16cid:durableId="143278384">
    <w:abstractNumId w:val="33"/>
  </w:num>
  <w:num w:numId="38" w16cid:durableId="1539390275">
    <w:abstractNumId w:val="38"/>
  </w:num>
  <w:num w:numId="39" w16cid:durableId="757286262">
    <w:abstractNumId w:val="5"/>
  </w:num>
  <w:num w:numId="40" w16cid:durableId="241070038">
    <w:abstractNumId w:val="40"/>
  </w:num>
  <w:num w:numId="41" w16cid:durableId="768894129">
    <w:abstractNumId w:val="12"/>
  </w:num>
  <w:num w:numId="42" w16cid:durableId="1756315258">
    <w:abstractNumId w:val="19"/>
  </w:num>
  <w:num w:numId="43" w16cid:durableId="1486242684">
    <w:abstractNumId w:val="24"/>
  </w:num>
  <w:num w:numId="44" w16cid:durableId="2102331793">
    <w:abstractNumId w:val="22"/>
  </w:num>
  <w:num w:numId="45" w16cid:durableId="212347917">
    <w:abstractNumId w:val="15"/>
  </w:num>
  <w:num w:numId="46" w16cid:durableId="205266344">
    <w:abstractNumId w:val="51"/>
  </w:num>
  <w:num w:numId="47" w16cid:durableId="1032612417">
    <w:abstractNumId w:val="18"/>
  </w:num>
  <w:num w:numId="48" w16cid:durableId="91626970">
    <w:abstractNumId w:val="55"/>
  </w:num>
  <w:num w:numId="49" w16cid:durableId="789473061">
    <w:abstractNumId w:val="29"/>
  </w:num>
  <w:num w:numId="50" w16cid:durableId="929394283">
    <w:abstractNumId w:val="31"/>
  </w:num>
  <w:num w:numId="51" w16cid:durableId="1464226090">
    <w:abstractNumId w:val="39"/>
  </w:num>
  <w:num w:numId="52" w16cid:durableId="479618493">
    <w:abstractNumId w:val="52"/>
  </w:num>
  <w:num w:numId="53" w16cid:durableId="1826820497">
    <w:abstractNumId w:val="6"/>
  </w:num>
  <w:num w:numId="54" w16cid:durableId="1677536944">
    <w:abstractNumId w:val="13"/>
  </w:num>
  <w:num w:numId="55" w16cid:durableId="2089575613">
    <w:abstractNumId w:val="4"/>
  </w:num>
  <w:num w:numId="56" w16cid:durableId="932591047">
    <w:abstractNumId w:val="44"/>
  </w:num>
  <w:num w:numId="57" w16cid:durableId="1252003569">
    <w:abstractNumId w:val="45"/>
  </w:num>
  <w:num w:numId="58" w16cid:durableId="707729195">
    <w:abstractNumId w:val="30"/>
  </w:num>
  <w:num w:numId="59" w16cid:durableId="1770543687">
    <w:abstractNumId w:val="20"/>
  </w:num>
  <w:num w:numId="60" w16cid:durableId="2030064380">
    <w:abstractNumId w:val="46"/>
  </w:num>
  <w:num w:numId="61" w16cid:durableId="828135546">
    <w:abstractNumId w:val="46"/>
    <w:lvlOverride w:ilvl="0">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UyNTI2MbUwNzc1NzBR0lEKTi0uzszPAykwrAUAKwAn5SwAAAA="/>
  </w:docVars>
  <w:rsids>
    <w:rsidRoot w:val="00C31D63"/>
    <w:rsid w:val="000002E2"/>
    <w:rsid w:val="00000412"/>
    <w:rsid w:val="00000614"/>
    <w:rsid w:val="000006BB"/>
    <w:rsid w:val="000007BC"/>
    <w:rsid w:val="0000102B"/>
    <w:rsid w:val="00001091"/>
    <w:rsid w:val="00001E09"/>
    <w:rsid w:val="00002236"/>
    <w:rsid w:val="00002543"/>
    <w:rsid w:val="000025FE"/>
    <w:rsid w:val="000026C9"/>
    <w:rsid w:val="000027F9"/>
    <w:rsid w:val="00002DFB"/>
    <w:rsid w:val="00002E29"/>
    <w:rsid w:val="0000357C"/>
    <w:rsid w:val="00003980"/>
    <w:rsid w:val="00004031"/>
    <w:rsid w:val="00004901"/>
    <w:rsid w:val="00004B58"/>
    <w:rsid w:val="00004FF2"/>
    <w:rsid w:val="0000514C"/>
    <w:rsid w:val="00006063"/>
    <w:rsid w:val="0000645B"/>
    <w:rsid w:val="00006810"/>
    <w:rsid w:val="00006DB1"/>
    <w:rsid w:val="00006E7A"/>
    <w:rsid w:val="000073BC"/>
    <w:rsid w:val="00010692"/>
    <w:rsid w:val="000106C4"/>
    <w:rsid w:val="000108E7"/>
    <w:rsid w:val="00010C24"/>
    <w:rsid w:val="00010DED"/>
    <w:rsid w:val="000114B9"/>
    <w:rsid w:val="00011768"/>
    <w:rsid w:val="00011EF6"/>
    <w:rsid w:val="00011F0E"/>
    <w:rsid w:val="00011FD3"/>
    <w:rsid w:val="00012228"/>
    <w:rsid w:val="00012444"/>
    <w:rsid w:val="0001251F"/>
    <w:rsid w:val="000125DC"/>
    <w:rsid w:val="000127EF"/>
    <w:rsid w:val="00012903"/>
    <w:rsid w:val="00012981"/>
    <w:rsid w:val="000135A7"/>
    <w:rsid w:val="000138CC"/>
    <w:rsid w:val="00013E97"/>
    <w:rsid w:val="00013FED"/>
    <w:rsid w:val="0001497B"/>
    <w:rsid w:val="00014AC5"/>
    <w:rsid w:val="00015211"/>
    <w:rsid w:val="00015F7A"/>
    <w:rsid w:val="00016B4D"/>
    <w:rsid w:val="00016FDE"/>
    <w:rsid w:val="00017BF7"/>
    <w:rsid w:val="00017EE9"/>
    <w:rsid w:val="000202DB"/>
    <w:rsid w:val="00020AC0"/>
    <w:rsid w:val="00020C2F"/>
    <w:rsid w:val="0002106B"/>
    <w:rsid w:val="00021680"/>
    <w:rsid w:val="00021D5E"/>
    <w:rsid w:val="00021EF0"/>
    <w:rsid w:val="0002212D"/>
    <w:rsid w:val="00023130"/>
    <w:rsid w:val="0002317E"/>
    <w:rsid w:val="000232D7"/>
    <w:rsid w:val="000233C7"/>
    <w:rsid w:val="00023896"/>
    <w:rsid w:val="00023ACA"/>
    <w:rsid w:val="00023B18"/>
    <w:rsid w:val="00023CF1"/>
    <w:rsid w:val="00023FDD"/>
    <w:rsid w:val="00024093"/>
    <w:rsid w:val="00024DD3"/>
    <w:rsid w:val="000253A8"/>
    <w:rsid w:val="000257A5"/>
    <w:rsid w:val="000257CB"/>
    <w:rsid w:val="00025902"/>
    <w:rsid w:val="00025C7C"/>
    <w:rsid w:val="00025D53"/>
    <w:rsid w:val="00026090"/>
    <w:rsid w:val="0002613F"/>
    <w:rsid w:val="000263D3"/>
    <w:rsid w:val="00026738"/>
    <w:rsid w:val="0002686D"/>
    <w:rsid w:val="0002691F"/>
    <w:rsid w:val="00026CF0"/>
    <w:rsid w:val="00027058"/>
    <w:rsid w:val="0002722E"/>
    <w:rsid w:val="000275A9"/>
    <w:rsid w:val="00027BB3"/>
    <w:rsid w:val="00027E00"/>
    <w:rsid w:val="0003016A"/>
    <w:rsid w:val="000301C8"/>
    <w:rsid w:val="00030778"/>
    <w:rsid w:val="00030D8B"/>
    <w:rsid w:val="00031962"/>
    <w:rsid w:val="0003287E"/>
    <w:rsid w:val="00032B26"/>
    <w:rsid w:val="000333BC"/>
    <w:rsid w:val="000334C9"/>
    <w:rsid w:val="00033533"/>
    <w:rsid w:val="00033AE8"/>
    <w:rsid w:val="00033EC2"/>
    <w:rsid w:val="0003410C"/>
    <w:rsid w:val="00034164"/>
    <w:rsid w:val="000343D2"/>
    <w:rsid w:val="000343F4"/>
    <w:rsid w:val="000347B4"/>
    <w:rsid w:val="00034896"/>
    <w:rsid w:val="00034CC8"/>
    <w:rsid w:val="00034EB5"/>
    <w:rsid w:val="00035128"/>
    <w:rsid w:val="00035674"/>
    <w:rsid w:val="00035ACE"/>
    <w:rsid w:val="00035C93"/>
    <w:rsid w:val="00036536"/>
    <w:rsid w:val="000367DA"/>
    <w:rsid w:val="00036A91"/>
    <w:rsid w:val="00037307"/>
    <w:rsid w:val="000377A6"/>
    <w:rsid w:val="0003797A"/>
    <w:rsid w:val="00037CAD"/>
    <w:rsid w:val="00037D4B"/>
    <w:rsid w:val="00040274"/>
    <w:rsid w:val="000404CA"/>
    <w:rsid w:val="00040AFC"/>
    <w:rsid w:val="00040EFC"/>
    <w:rsid w:val="00040F40"/>
    <w:rsid w:val="00041055"/>
    <w:rsid w:val="00041349"/>
    <w:rsid w:val="000414BB"/>
    <w:rsid w:val="000415D1"/>
    <w:rsid w:val="000417F7"/>
    <w:rsid w:val="000420E0"/>
    <w:rsid w:val="000421D4"/>
    <w:rsid w:val="000428C7"/>
    <w:rsid w:val="000444BF"/>
    <w:rsid w:val="000444F9"/>
    <w:rsid w:val="0004468C"/>
    <w:rsid w:val="0004472F"/>
    <w:rsid w:val="0004492C"/>
    <w:rsid w:val="00044936"/>
    <w:rsid w:val="00044A27"/>
    <w:rsid w:val="00044CA4"/>
    <w:rsid w:val="00044DDC"/>
    <w:rsid w:val="000455D1"/>
    <w:rsid w:val="00045811"/>
    <w:rsid w:val="0004613D"/>
    <w:rsid w:val="00046442"/>
    <w:rsid w:val="0004689E"/>
    <w:rsid w:val="00047090"/>
    <w:rsid w:val="00047831"/>
    <w:rsid w:val="00047943"/>
    <w:rsid w:val="00047976"/>
    <w:rsid w:val="00047A6B"/>
    <w:rsid w:val="00047AF0"/>
    <w:rsid w:val="00047F94"/>
    <w:rsid w:val="00050523"/>
    <w:rsid w:val="000507EE"/>
    <w:rsid w:val="000508F9"/>
    <w:rsid w:val="00050A86"/>
    <w:rsid w:val="00051045"/>
    <w:rsid w:val="000513DB"/>
    <w:rsid w:val="0005152C"/>
    <w:rsid w:val="0005160D"/>
    <w:rsid w:val="00051F0F"/>
    <w:rsid w:val="00052822"/>
    <w:rsid w:val="00052D61"/>
    <w:rsid w:val="00053C3E"/>
    <w:rsid w:val="00053C79"/>
    <w:rsid w:val="00053DE9"/>
    <w:rsid w:val="00054484"/>
    <w:rsid w:val="000545A9"/>
    <w:rsid w:val="000545E3"/>
    <w:rsid w:val="0005512D"/>
    <w:rsid w:val="00055A66"/>
    <w:rsid w:val="00055A9D"/>
    <w:rsid w:val="00056028"/>
    <w:rsid w:val="00056078"/>
    <w:rsid w:val="00056342"/>
    <w:rsid w:val="00056A91"/>
    <w:rsid w:val="00056E49"/>
    <w:rsid w:val="0005730B"/>
    <w:rsid w:val="00057402"/>
    <w:rsid w:val="00057450"/>
    <w:rsid w:val="0005766D"/>
    <w:rsid w:val="00057B65"/>
    <w:rsid w:val="00057B70"/>
    <w:rsid w:val="00060225"/>
    <w:rsid w:val="00060281"/>
    <w:rsid w:val="0006073B"/>
    <w:rsid w:val="00060796"/>
    <w:rsid w:val="000607B9"/>
    <w:rsid w:val="00060BE8"/>
    <w:rsid w:val="00060ECB"/>
    <w:rsid w:val="000615F7"/>
    <w:rsid w:val="000617CF"/>
    <w:rsid w:val="00061AB8"/>
    <w:rsid w:val="00062069"/>
    <w:rsid w:val="000624E6"/>
    <w:rsid w:val="0006266A"/>
    <w:rsid w:val="000628E1"/>
    <w:rsid w:val="00063794"/>
    <w:rsid w:val="0006386D"/>
    <w:rsid w:val="0006388D"/>
    <w:rsid w:val="00063C62"/>
    <w:rsid w:val="00063DB6"/>
    <w:rsid w:val="0006436E"/>
    <w:rsid w:val="000644C9"/>
    <w:rsid w:val="000645C3"/>
    <w:rsid w:val="0006467A"/>
    <w:rsid w:val="00065309"/>
    <w:rsid w:val="00066B42"/>
    <w:rsid w:val="00066D4E"/>
    <w:rsid w:val="00066E31"/>
    <w:rsid w:val="0006739C"/>
    <w:rsid w:val="000675E3"/>
    <w:rsid w:val="00067D05"/>
    <w:rsid w:val="00070250"/>
    <w:rsid w:val="0007045F"/>
    <w:rsid w:val="0007064F"/>
    <w:rsid w:val="0007096C"/>
    <w:rsid w:val="000709DD"/>
    <w:rsid w:val="00071126"/>
    <w:rsid w:val="0007121C"/>
    <w:rsid w:val="00071321"/>
    <w:rsid w:val="000715C7"/>
    <w:rsid w:val="00071692"/>
    <w:rsid w:val="00071921"/>
    <w:rsid w:val="00071D19"/>
    <w:rsid w:val="0007277B"/>
    <w:rsid w:val="00072A8D"/>
    <w:rsid w:val="00072C2C"/>
    <w:rsid w:val="00072DF5"/>
    <w:rsid w:val="000735A0"/>
    <w:rsid w:val="000736D0"/>
    <w:rsid w:val="00073AA4"/>
    <w:rsid w:val="00073E6E"/>
    <w:rsid w:val="00073F2C"/>
    <w:rsid w:val="000741B7"/>
    <w:rsid w:val="00074545"/>
    <w:rsid w:val="000745E9"/>
    <w:rsid w:val="000747C0"/>
    <w:rsid w:val="00074E51"/>
    <w:rsid w:val="00075BF6"/>
    <w:rsid w:val="00075D5F"/>
    <w:rsid w:val="00076447"/>
    <w:rsid w:val="00076BD3"/>
    <w:rsid w:val="00076CDA"/>
    <w:rsid w:val="00076FEB"/>
    <w:rsid w:val="000773DE"/>
    <w:rsid w:val="00077586"/>
    <w:rsid w:val="0007765C"/>
    <w:rsid w:val="0007788D"/>
    <w:rsid w:val="000779ED"/>
    <w:rsid w:val="000779FC"/>
    <w:rsid w:val="00077BF8"/>
    <w:rsid w:val="00077C06"/>
    <w:rsid w:val="00077EC8"/>
    <w:rsid w:val="00077ED1"/>
    <w:rsid w:val="00080134"/>
    <w:rsid w:val="00080240"/>
    <w:rsid w:val="000803BD"/>
    <w:rsid w:val="000804BD"/>
    <w:rsid w:val="000806A4"/>
    <w:rsid w:val="00080D8D"/>
    <w:rsid w:val="00081281"/>
    <w:rsid w:val="00081AF4"/>
    <w:rsid w:val="0008204A"/>
    <w:rsid w:val="00082267"/>
    <w:rsid w:val="00082289"/>
    <w:rsid w:val="00082502"/>
    <w:rsid w:val="00082C10"/>
    <w:rsid w:val="00083233"/>
    <w:rsid w:val="000838A7"/>
    <w:rsid w:val="00083AED"/>
    <w:rsid w:val="00083EAD"/>
    <w:rsid w:val="000844AD"/>
    <w:rsid w:val="000844CD"/>
    <w:rsid w:val="0008477A"/>
    <w:rsid w:val="00084D8B"/>
    <w:rsid w:val="00084DF6"/>
    <w:rsid w:val="00084FE1"/>
    <w:rsid w:val="00085636"/>
    <w:rsid w:val="000857E0"/>
    <w:rsid w:val="00085855"/>
    <w:rsid w:val="00085C2C"/>
    <w:rsid w:val="00085E8C"/>
    <w:rsid w:val="000862DC"/>
    <w:rsid w:val="00086493"/>
    <w:rsid w:val="000866D9"/>
    <w:rsid w:val="00086A38"/>
    <w:rsid w:val="00087169"/>
    <w:rsid w:val="000871EC"/>
    <w:rsid w:val="0008739E"/>
    <w:rsid w:val="000873A0"/>
    <w:rsid w:val="00087448"/>
    <w:rsid w:val="0008761F"/>
    <w:rsid w:val="00087B89"/>
    <w:rsid w:val="00090466"/>
    <w:rsid w:val="00090AA3"/>
    <w:rsid w:val="00090BDA"/>
    <w:rsid w:val="00090D78"/>
    <w:rsid w:val="00090F9B"/>
    <w:rsid w:val="0009192C"/>
    <w:rsid w:val="00091BF2"/>
    <w:rsid w:val="000923AD"/>
    <w:rsid w:val="0009249A"/>
    <w:rsid w:val="00092E74"/>
    <w:rsid w:val="00093024"/>
    <w:rsid w:val="00093449"/>
    <w:rsid w:val="000936AC"/>
    <w:rsid w:val="0009371B"/>
    <w:rsid w:val="000938C3"/>
    <w:rsid w:val="00093E82"/>
    <w:rsid w:val="00094018"/>
    <w:rsid w:val="000943AA"/>
    <w:rsid w:val="00094527"/>
    <w:rsid w:val="000945EF"/>
    <w:rsid w:val="00094C75"/>
    <w:rsid w:val="00094F6D"/>
    <w:rsid w:val="00094F96"/>
    <w:rsid w:val="00095345"/>
    <w:rsid w:val="0009548B"/>
    <w:rsid w:val="00095C89"/>
    <w:rsid w:val="000961AF"/>
    <w:rsid w:val="00096A52"/>
    <w:rsid w:val="00097067"/>
    <w:rsid w:val="00097283"/>
    <w:rsid w:val="0009756E"/>
    <w:rsid w:val="000978C9"/>
    <w:rsid w:val="000A01B9"/>
    <w:rsid w:val="000A0205"/>
    <w:rsid w:val="000A0316"/>
    <w:rsid w:val="000A1218"/>
    <w:rsid w:val="000A17B6"/>
    <w:rsid w:val="000A1BC2"/>
    <w:rsid w:val="000A3668"/>
    <w:rsid w:val="000A36A0"/>
    <w:rsid w:val="000A3786"/>
    <w:rsid w:val="000A3B2B"/>
    <w:rsid w:val="000A3C6C"/>
    <w:rsid w:val="000A42A4"/>
    <w:rsid w:val="000A4829"/>
    <w:rsid w:val="000A48A3"/>
    <w:rsid w:val="000A4916"/>
    <w:rsid w:val="000A4D07"/>
    <w:rsid w:val="000A5262"/>
    <w:rsid w:val="000A534C"/>
    <w:rsid w:val="000A5863"/>
    <w:rsid w:val="000A58F2"/>
    <w:rsid w:val="000A5B9A"/>
    <w:rsid w:val="000A5F63"/>
    <w:rsid w:val="000A6163"/>
    <w:rsid w:val="000A6307"/>
    <w:rsid w:val="000A64EA"/>
    <w:rsid w:val="000A6899"/>
    <w:rsid w:val="000A6995"/>
    <w:rsid w:val="000A6A57"/>
    <w:rsid w:val="000A6E2A"/>
    <w:rsid w:val="000A7434"/>
    <w:rsid w:val="000A74C6"/>
    <w:rsid w:val="000A751B"/>
    <w:rsid w:val="000A7E67"/>
    <w:rsid w:val="000A7EC9"/>
    <w:rsid w:val="000A7FC6"/>
    <w:rsid w:val="000B0298"/>
    <w:rsid w:val="000B159B"/>
    <w:rsid w:val="000B15E3"/>
    <w:rsid w:val="000B1F5F"/>
    <w:rsid w:val="000B20F4"/>
    <w:rsid w:val="000B2318"/>
    <w:rsid w:val="000B2A39"/>
    <w:rsid w:val="000B30CA"/>
    <w:rsid w:val="000B3C96"/>
    <w:rsid w:val="000B3FE6"/>
    <w:rsid w:val="000B42AB"/>
    <w:rsid w:val="000B4373"/>
    <w:rsid w:val="000B46C3"/>
    <w:rsid w:val="000B4729"/>
    <w:rsid w:val="000B483B"/>
    <w:rsid w:val="000B523A"/>
    <w:rsid w:val="000B5307"/>
    <w:rsid w:val="000B531A"/>
    <w:rsid w:val="000B5481"/>
    <w:rsid w:val="000B5664"/>
    <w:rsid w:val="000B58A8"/>
    <w:rsid w:val="000B5B95"/>
    <w:rsid w:val="000B638C"/>
    <w:rsid w:val="000B664B"/>
    <w:rsid w:val="000B68B5"/>
    <w:rsid w:val="000B6CAE"/>
    <w:rsid w:val="000B717A"/>
    <w:rsid w:val="000C025A"/>
    <w:rsid w:val="000C0327"/>
    <w:rsid w:val="000C0360"/>
    <w:rsid w:val="000C056C"/>
    <w:rsid w:val="000C0755"/>
    <w:rsid w:val="000C0988"/>
    <w:rsid w:val="000C0CC8"/>
    <w:rsid w:val="000C0CCB"/>
    <w:rsid w:val="000C0E96"/>
    <w:rsid w:val="000C10CC"/>
    <w:rsid w:val="000C1134"/>
    <w:rsid w:val="000C114C"/>
    <w:rsid w:val="000C14B9"/>
    <w:rsid w:val="000C1638"/>
    <w:rsid w:val="000C175D"/>
    <w:rsid w:val="000C1799"/>
    <w:rsid w:val="000C1B3B"/>
    <w:rsid w:val="000C1CA1"/>
    <w:rsid w:val="000C1F1B"/>
    <w:rsid w:val="000C200C"/>
    <w:rsid w:val="000C22B0"/>
    <w:rsid w:val="000C2A60"/>
    <w:rsid w:val="000C312C"/>
    <w:rsid w:val="000C35C4"/>
    <w:rsid w:val="000C3893"/>
    <w:rsid w:val="000C45E0"/>
    <w:rsid w:val="000C45F9"/>
    <w:rsid w:val="000C4A14"/>
    <w:rsid w:val="000C4A94"/>
    <w:rsid w:val="000C4B3D"/>
    <w:rsid w:val="000C527A"/>
    <w:rsid w:val="000C5410"/>
    <w:rsid w:val="000C5477"/>
    <w:rsid w:val="000C5540"/>
    <w:rsid w:val="000C56C2"/>
    <w:rsid w:val="000C593C"/>
    <w:rsid w:val="000C5EDF"/>
    <w:rsid w:val="000C642B"/>
    <w:rsid w:val="000C643F"/>
    <w:rsid w:val="000C665A"/>
    <w:rsid w:val="000C6663"/>
    <w:rsid w:val="000C6B0A"/>
    <w:rsid w:val="000C6BA7"/>
    <w:rsid w:val="000D02F8"/>
    <w:rsid w:val="000D03BB"/>
    <w:rsid w:val="000D052D"/>
    <w:rsid w:val="000D05F2"/>
    <w:rsid w:val="000D0D3F"/>
    <w:rsid w:val="000D0D79"/>
    <w:rsid w:val="000D0D92"/>
    <w:rsid w:val="000D0DB8"/>
    <w:rsid w:val="000D11E3"/>
    <w:rsid w:val="000D155C"/>
    <w:rsid w:val="000D1E4B"/>
    <w:rsid w:val="000D2083"/>
    <w:rsid w:val="000D21D5"/>
    <w:rsid w:val="000D2B8B"/>
    <w:rsid w:val="000D2D7F"/>
    <w:rsid w:val="000D31B5"/>
    <w:rsid w:val="000D3A75"/>
    <w:rsid w:val="000D3C74"/>
    <w:rsid w:val="000D3D3F"/>
    <w:rsid w:val="000D417E"/>
    <w:rsid w:val="000D425D"/>
    <w:rsid w:val="000D42DE"/>
    <w:rsid w:val="000D438C"/>
    <w:rsid w:val="000D4659"/>
    <w:rsid w:val="000D4AA1"/>
    <w:rsid w:val="000D4B53"/>
    <w:rsid w:val="000D4C06"/>
    <w:rsid w:val="000D4E64"/>
    <w:rsid w:val="000D5670"/>
    <w:rsid w:val="000D5813"/>
    <w:rsid w:val="000D5999"/>
    <w:rsid w:val="000D621B"/>
    <w:rsid w:val="000D66D0"/>
    <w:rsid w:val="000D6807"/>
    <w:rsid w:val="000D68BC"/>
    <w:rsid w:val="000D6B06"/>
    <w:rsid w:val="000D6C1E"/>
    <w:rsid w:val="000D70B1"/>
    <w:rsid w:val="000D732A"/>
    <w:rsid w:val="000D779F"/>
    <w:rsid w:val="000D7896"/>
    <w:rsid w:val="000D789F"/>
    <w:rsid w:val="000D7FB6"/>
    <w:rsid w:val="000E0096"/>
    <w:rsid w:val="000E01C7"/>
    <w:rsid w:val="000E0415"/>
    <w:rsid w:val="000E0B5E"/>
    <w:rsid w:val="000E0CDA"/>
    <w:rsid w:val="000E0EA0"/>
    <w:rsid w:val="000E18B1"/>
    <w:rsid w:val="000E2187"/>
    <w:rsid w:val="000E22C7"/>
    <w:rsid w:val="000E2647"/>
    <w:rsid w:val="000E2DFE"/>
    <w:rsid w:val="000E30A8"/>
    <w:rsid w:val="000E31CE"/>
    <w:rsid w:val="000E3290"/>
    <w:rsid w:val="000E33BC"/>
    <w:rsid w:val="000E3655"/>
    <w:rsid w:val="000E3828"/>
    <w:rsid w:val="000E39E2"/>
    <w:rsid w:val="000E45F0"/>
    <w:rsid w:val="000E46FD"/>
    <w:rsid w:val="000E4874"/>
    <w:rsid w:val="000E4BEC"/>
    <w:rsid w:val="000E4C85"/>
    <w:rsid w:val="000E4F6D"/>
    <w:rsid w:val="000E51EB"/>
    <w:rsid w:val="000E53E2"/>
    <w:rsid w:val="000E5550"/>
    <w:rsid w:val="000E56E3"/>
    <w:rsid w:val="000E5DDC"/>
    <w:rsid w:val="000E5F49"/>
    <w:rsid w:val="000E6002"/>
    <w:rsid w:val="000E6125"/>
    <w:rsid w:val="000E672F"/>
    <w:rsid w:val="000E6796"/>
    <w:rsid w:val="000E6CAB"/>
    <w:rsid w:val="000E6FB0"/>
    <w:rsid w:val="000E7117"/>
    <w:rsid w:val="000E7270"/>
    <w:rsid w:val="000E76B4"/>
    <w:rsid w:val="000E7C46"/>
    <w:rsid w:val="000E7F75"/>
    <w:rsid w:val="000F0086"/>
    <w:rsid w:val="000F0C14"/>
    <w:rsid w:val="000F0FA6"/>
    <w:rsid w:val="000F0FEB"/>
    <w:rsid w:val="000F11D2"/>
    <w:rsid w:val="000F145B"/>
    <w:rsid w:val="000F259E"/>
    <w:rsid w:val="000F32EF"/>
    <w:rsid w:val="000F32F6"/>
    <w:rsid w:val="000F3721"/>
    <w:rsid w:val="000F3896"/>
    <w:rsid w:val="000F38ED"/>
    <w:rsid w:val="000F3EB7"/>
    <w:rsid w:val="000F3FCB"/>
    <w:rsid w:val="000F4540"/>
    <w:rsid w:val="000F45B2"/>
    <w:rsid w:val="000F47E5"/>
    <w:rsid w:val="000F4B45"/>
    <w:rsid w:val="000F50F6"/>
    <w:rsid w:val="000F52B7"/>
    <w:rsid w:val="000F6081"/>
    <w:rsid w:val="000F6F03"/>
    <w:rsid w:val="000F6F10"/>
    <w:rsid w:val="000F77CA"/>
    <w:rsid w:val="000F782A"/>
    <w:rsid w:val="000F7F1F"/>
    <w:rsid w:val="000F7FD8"/>
    <w:rsid w:val="001004F0"/>
    <w:rsid w:val="00100C74"/>
    <w:rsid w:val="0010142D"/>
    <w:rsid w:val="0010170B"/>
    <w:rsid w:val="001020B4"/>
    <w:rsid w:val="001024DD"/>
    <w:rsid w:val="0010276C"/>
    <w:rsid w:val="001029B2"/>
    <w:rsid w:val="00102E2F"/>
    <w:rsid w:val="00103001"/>
    <w:rsid w:val="00104202"/>
    <w:rsid w:val="00105019"/>
    <w:rsid w:val="0010574F"/>
    <w:rsid w:val="00105C50"/>
    <w:rsid w:val="00105D95"/>
    <w:rsid w:val="0010632D"/>
    <w:rsid w:val="00106382"/>
    <w:rsid w:val="001065E8"/>
    <w:rsid w:val="0010734E"/>
    <w:rsid w:val="001073FF"/>
    <w:rsid w:val="0010754E"/>
    <w:rsid w:val="0010756A"/>
    <w:rsid w:val="001077D0"/>
    <w:rsid w:val="0010787E"/>
    <w:rsid w:val="00107EE2"/>
    <w:rsid w:val="00110011"/>
    <w:rsid w:val="00110659"/>
    <w:rsid w:val="00110842"/>
    <w:rsid w:val="00110A53"/>
    <w:rsid w:val="00110D85"/>
    <w:rsid w:val="00110E0C"/>
    <w:rsid w:val="00110F3A"/>
    <w:rsid w:val="00111D84"/>
    <w:rsid w:val="001120B8"/>
    <w:rsid w:val="00112228"/>
    <w:rsid w:val="001129D2"/>
    <w:rsid w:val="00112A51"/>
    <w:rsid w:val="00112B01"/>
    <w:rsid w:val="00113015"/>
    <w:rsid w:val="0011329E"/>
    <w:rsid w:val="00113996"/>
    <w:rsid w:val="00113EEC"/>
    <w:rsid w:val="0011429F"/>
    <w:rsid w:val="001142D4"/>
    <w:rsid w:val="001142EB"/>
    <w:rsid w:val="00114320"/>
    <w:rsid w:val="001148EC"/>
    <w:rsid w:val="00114EE1"/>
    <w:rsid w:val="0011518F"/>
    <w:rsid w:val="00115329"/>
    <w:rsid w:val="0011545C"/>
    <w:rsid w:val="0011566E"/>
    <w:rsid w:val="001162D4"/>
    <w:rsid w:val="00116D18"/>
    <w:rsid w:val="00117B48"/>
    <w:rsid w:val="00117F9E"/>
    <w:rsid w:val="00120161"/>
    <w:rsid w:val="0012028C"/>
    <w:rsid w:val="0012129B"/>
    <w:rsid w:val="001218E5"/>
    <w:rsid w:val="00121907"/>
    <w:rsid w:val="0012271E"/>
    <w:rsid w:val="001227E8"/>
    <w:rsid w:val="00122B7B"/>
    <w:rsid w:val="001236DB"/>
    <w:rsid w:val="00123B00"/>
    <w:rsid w:val="00123DE4"/>
    <w:rsid w:val="00123ED6"/>
    <w:rsid w:val="001240A3"/>
    <w:rsid w:val="0012451D"/>
    <w:rsid w:val="001246BA"/>
    <w:rsid w:val="00125200"/>
    <w:rsid w:val="00125469"/>
    <w:rsid w:val="001259CC"/>
    <w:rsid w:val="00125A98"/>
    <w:rsid w:val="00126181"/>
    <w:rsid w:val="00126727"/>
    <w:rsid w:val="0012678E"/>
    <w:rsid w:val="00126835"/>
    <w:rsid w:val="0012684C"/>
    <w:rsid w:val="001268A0"/>
    <w:rsid w:val="00126E7C"/>
    <w:rsid w:val="00126FAD"/>
    <w:rsid w:val="001275E4"/>
    <w:rsid w:val="00127DFF"/>
    <w:rsid w:val="00130D89"/>
    <w:rsid w:val="00130F26"/>
    <w:rsid w:val="00131425"/>
    <w:rsid w:val="00131534"/>
    <w:rsid w:val="00131905"/>
    <w:rsid w:val="00131C66"/>
    <w:rsid w:val="00131C74"/>
    <w:rsid w:val="00132048"/>
    <w:rsid w:val="0013291D"/>
    <w:rsid w:val="00132965"/>
    <w:rsid w:val="001331D2"/>
    <w:rsid w:val="00133536"/>
    <w:rsid w:val="00133639"/>
    <w:rsid w:val="00133EC7"/>
    <w:rsid w:val="0013431C"/>
    <w:rsid w:val="00134520"/>
    <w:rsid w:val="00134EEF"/>
    <w:rsid w:val="00135B59"/>
    <w:rsid w:val="00135F4C"/>
    <w:rsid w:val="00136A61"/>
    <w:rsid w:val="0013725D"/>
    <w:rsid w:val="00137B87"/>
    <w:rsid w:val="001400F7"/>
    <w:rsid w:val="0014030E"/>
    <w:rsid w:val="00140849"/>
    <w:rsid w:val="0014085A"/>
    <w:rsid w:val="001409B6"/>
    <w:rsid w:val="00140C27"/>
    <w:rsid w:val="00140E21"/>
    <w:rsid w:val="0014197C"/>
    <w:rsid w:val="00141F46"/>
    <w:rsid w:val="001420A4"/>
    <w:rsid w:val="00142209"/>
    <w:rsid w:val="00142714"/>
    <w:rsid w:val="0014295A"/>
    <w:rsid w:val="00142F44"/>
    <w:rsid w:val="001432ED"/>
    <w:rsid w:val="00143F73"/>
    <w:rsid w:val="0014404C"/>
    <w:rsid w:val="001440A4"/>
    <w:rsid w:val="001442E3"/>
    <w:rsid w:val="00144673"/>
    <w:rsid w:val="001446AE"/>
    <w:rsid w:val="00144AA3"/>
    <w:rsid w:val="00144B29"/>
    <w:rsid w:val="0014500A"/>
    <w:rsid w:val="00145119"/>
    <w:rsid w:val="001452A4"/>
    <w:rsid w:val="00145C5E"/>
    <w:rsid w:val="00145DEB"/>
    <w:rsid w:val="00146487"/>
    <w:rsid w:val="0014671E"/>
    <w:rsid w:val="00146865"/>
    <w:rsid w:val="00147318"/>
    <w:rsid w:val="001473F7"/>
    <w:rsid w:val="00147890"/>
    <w:rsid w:val="00147DE2"/>
    <w:rsid w:val="00147FC3"/>
    <w:rsid w:val="00150BA5"/>
    <w:rsid w:val="0015126E"/>
    <w:rsid w:val="00151D3B"/>
    <w:rsid w:val="001524AD"/>
    <w:rsid w:val="0015258B"/>
    <w:rsid w:val="00152D67"/>
    <w:rsid w:val="00152F6A"/>
    <w:rsid w:val="001530D2"/>
    <w:rsid w:val="001531E4"/>
    <w:rsid w:val="001531E5"/>
    <w:rsid w:val="00153749"/>
    <w:rsid w:val="00153981"/>
    <w:rsid w:val="00153CD3"/>
    <w:rsid w:val="00154A9B"/>
    <w:rsid w:val="0015514D"/>
    <w:rsid w:val="0015566C"/>
    <w:rsid w:val="0015580A"/>
    <w:rsid w:val="00155D35"/>
    <w:rsid w:val="00155FFF"/>
    <w:rsid w:val="001564DA"/>
    <w:rsid w:val="00156A7B"/>
    <w:rsid w:val="00156B03"/>
    <w:rsid w:val="00156D62"/>
    <w:rsid w:val="00156EF7"/>
    <w:rsid w:val="001575C8"/>
    <w:rsid w:val="00157C47"/>
    <w:rsid w:val="0016032E"/>
    <w:rsid w:val="00160652"/>
    <w:rsid w:val="001607BF"/>
    <w:rsid w:val="00160A92"/>
    <w:rsid w:val="001613B3"/>
    <w:rsid w:val="00161C69"/>
    <w:rsid w:val="00161CE6"/>
    <w:rsid w:val="00161E04"/>
    <w:rsid w:val="00161F55"/>
    <w:rsid w:val="001620F8"/>
    <w:rsid w:val="001629D1"/>
    <w:rsid w:val="00162D80"/>
    <w:rsid w:val="00163634"/>
    <w:rsid w:val="00163797"/>
    <w:rsid w:val="00163851"/>
    <w:rsid w:val="0016394E"/>
    <w:rsid w:val="00163B20"/>
    <w:rsid w:val="00164090"/>
    <w:rsid w:val="00164161"/>
    <w:rsid w:val="001641DB"/>
    <w:rsid w:val="00164201"/>
    <w:rsid w:val="00164803"/>
    <w:rsid w:val="00164996"/>
    <w:rsid w:val="00164AC9"/>
    <w:rsid w:val="00164D0B"/>
    <w:rsid w:val="001655D4"/>
    <w:rsid w:val="00165899"/>
    <w:rsid w:val="001658C1"/>
    <w:rsid w:val="001663EE"/>
    <w:rsid w:val="001663F8"/>
    <w:rsid w:val="00166544"/>
    <w:rsid w:val="00166596"/>
    <w:rsid w:val="00166BB9"/>
    <w:rsid w:val="00166EAE"/>
    <w:rsid w:val="00167266"/>
    <w:rsid w:val="00167922"/>
    <w:rsid w:val="00167E62"/>
    <w:rsid w:val="00167FEC"/>
    <w:rsid w:val="00170325"/>
    <w:rsid w:val="00170520"/>
    <w:rsid w:val="00170E4C"/>
    <w:rsid w:val="00170E63"/>
    <w:rsid w:val="00170F20"/>
    <w:rsid w:val="00170F28"/>
    <w:rsid w:val="00171263"/>
    <w:rsid w:val="0017170E"/>
    <w:rsid w:val="0017174E"/>
    <w:rsid w:val="00171B57"/>
    <w:rsid w:val="00171C00"/>
    <w:rsid w:val="00172329"/>
    <w:rsid w:val="00172437"/>
    <w:rsid w:val="001727D3"/>
    <w:rsid w:val="0017281D"/>
    <w:rsid w:val="00172A1D"/>
    <w:rsid w:val="00172A80"/>
    <w:rsid w:val="0017338B"/>
    <w:rsid w:val="0017359F"/>
    <w:rsid w:val="0017363D"/>
    <w:rsid w:val="00173678"/>
    <w:rsid w:val="0017375E"/>
    <w:rsid w:val="00173A6F"/>
    <w:rsid w:val="00173B93"/>
    <w:rsid w:val="00173ED6"/>
    <w:rsid w:val="00173F05"/>
    <w:rsid w:val="001748B8"/>
    <w:rsid w:val="001749BA"/>
    <w:rsid w:val="001749C0"/>
    <w:rsid w:val="00175636"/>
    <w:rsid w:val="00175823"/>
    <w:rsid w:val="0017617F"/>
    <w:rsid w:val="0017646C"/>
    <w:rsid w:val="001764B0"/>
    <w:rsid w:val="001765CC"/>
    <w:rsid w:val="0017692C"/>
    <w:rsid w:val="00176939"/>
    <w:rsid w:val="00176B55"/>
    <w:rsid w:val="00176D2F"/>
    <w:rsid w:val="00177203"/>
    <w:rsid w:val="00177698"/>
    <w:rsid w:val="00177AEF"/>
    <w:rsid w:val="00180459"/>
    <w:rsid w:val="00180570"/>
    <w:rsid w:val="001806BF"/>
    <w:rsid w:val="00180787"/>
    <w:rsid w:val="00180AE1"/>
    <w:rsid w:val="00180BC9"/>
    <w:rsid w:val="00180DBA"/>
    <w:rsid w:val="00180ED4"/>
    <w:rsid w:val="00181106"/>
    <w:rsid w:val="0018136D"/>
    <w:rsid w:val="001813E5"/>
    <w:rsid w:val="00181471"/>
    <w:rsid w:val="00181C46"/>
    <w:rsid w:val="00181F3A"/>
    <w:rsid w:val="00182067"/>
    <w:rsid w:val="0018267F"/>
    <w:rsid w:val="001827A1"/>
    <w:rsid w:val="00182E94"/>
    <w:rsid w:val="001835FE"/>
    <w:rsid w:val="00183F2E"/>
    <w:rsid w:val="00184C66"/>
    <w:rsid w:val="00184E5F"/>
    <w:rsid w:val="001857BA"/>
    <w:rsid w:val="00185B2A"/>
    <w:rsid w:val="00185C55"/>
    <w:rsid w:val="00185DA3"/>
    <w:rsid w:val="001862B5"/>
    <w:rsid w:val="001864B2"/>
    <w:rsid w:val="001868A0"/>
    <w:rsid w:val="00186C56"/>
    <w:rsid w:val="00186EA0"/>
    <w:rsid w:val="001878C3"/>
    <w:rsid w:val="001878EC"/>
    <w:rsid w:val="00187971"/>
    <w:rsid w:val="001901AA"/>
    <w:rsid w:val="0019026B"/>
    <w:rsid w:val="001907BA"/>
    <w:rsid w:val="00190E82"/>
    <w:rsid w:val="00191148"/>
    <w:rsid w:val="00191268"/>
    <w:rsid w:val="0019139F"/>
    <w:rsid w:val="00191608"/>
    <w:rsid w:val="001917A1"/>
    <w:rsid w:val="00191A16"/>
    <w:rsid w:val="001920E6"/>
    <w:rsid w:val="001929FB"/>
    <w:rsid w:val="00192AFB"/>
    <w:rsid w:val="00192BCA"/>
    <w:rsid w:val="00192D63"/>
    <w:rsid w:val="00193646"/>
    <w:rsid w:val="00193CE0"/>
    <w:rsid w:val="00193EB2"/>
    <w:rsid w:val="0019455E"/>
    <w:rsid w:val="00194E40"/>
    <w:rsid w:val="001951EC"/>
    <w:rsid w:val="0019599D"/>
    <w:rsid w:val="001959C8"/>
    <w:rsid w:val="00195C4B"/>
    <w:rsid w:val="00195D30"/>
    <w:rsid w:val="0019637B"/>
    <w:rsid w:val="00196751"/>
    <w:rsid w:val="0019693A"/>
    <w:rsid w:val="00196997"/>
    <w:rsid w:val="00196A06"/>
    <w:rsid w:val="00197246"/>
    <w:rsid w:val="001A00C1"/>
    <w:rsid w:val="001A03C6"/>
    <w:rsid w:val="001A0881"/>
    <w:rsid w:val="001A0994"/>
    <w:rsid w:val="001A12E3"/>
    <w:rsid w:val="001A1EBB"/>
    <w:rsid w:val="001A1F2E"/>
    <w:rsid w:val="001A244F"/>
    <w:rsid w:val="001A26F4"/>
    <w:rsid w:val="001A2785"/>
    <w:rsid w:val="001A2F29"/>
    <w:rsid w:val="001A3657"/>
    <w:rsid w:val="001A37E2"/>
    <w:rsid w:val="001A3AC7"/>
    <w:rsid w:val="001A3B35"/>
    <w:rsid w:val="001A3CD9"/>
    <w:rsid w:val="001A3DE1"/>
    <w:rsid w:val="001A4F07"/>
    <w:rsid w:val="001A5157"/>
    <w:rsid w:val="001A56D7"/>
    <w:rsid w:val="001A5799"/>
    <w:rsid w:val="001A5827"/>
    <w:rsid w:val="001A5921"/>
    <w:rsid w:val="001A5DA1"/>
    <w:rsid w:val="001A635F"/>
    <w:rsid w:val="001A65CD"/>
    <w:rsid w:val="001A665F"/>
    <w:rsid w:val="001A68E3"/>
    <w:rsid w:val="001A6917"/>
    <w:rsid w:val="001A6BB9"/>
    <w:rsid w:val="001A6D77"/>
    <w:rsid w:val="001A7101"/>
    <w:rsid w:val="001A734F"/>
    <w:rsid w:val="001A7792"/>
    <w:rsid w:val="001A7B55"/>
    <w:rsid w:val="001A7E24"/>
    <w:rsid w:val="001A7E7A"/>
    <w:rsid w:val="001B008F"/>
    <w:rsid w:val="001B1B4B"/>
    <w:rsid w:val="001B1F2C"/>
    <w:rsid w:val="001B2284"/>
    <w:rsid w:val="001B22A8"/>
    <w:rsid w:val="001B230F"/>
    <w:rsid w:val="001B23F9"/>
    <w:rsid w:val="001B2701"/>
    <w:rsid w:val="001B2E37"/>
    <w:rsid w:val="001B313D"/>
    <w:rsid w:val="001B3399"/>
    <w:rsid w:val="001B33E8"/>
    <w:rsid w:val="001B37AA"/>
    <w:rsid w:val="001B3888"/>
    <w:rsid w:val="001B39FE"/>
    <w:rsid w:val="001B3F9E"/>
    <w:rsid w:val="001B420B"/>
    <w:rsid w:val="001B4840"/>
    <w:rsid w:val="001B4C4B"/>
    <w:rsid w:val="001B4D63"/>
    <w:rsid w:val="001B555C"/>
    <w:rsid w:val="001B5561"/>
    <w:rsid w:val="001B5CBA"/>
    <w:rsid w:val="001B6096"/>
    <w:rsid w:val="001B6695"/>
    <w:rsid w:val="001B70AD"/>
    <w:rsid w:val="001B717E"/>
    <w:rsid w:val="001B72BE"/>
    <w:rsid w:val="001B7478"/>
    <w:rsid w:val="001B7936"/>
    <w:rsid w:val="001B7E99"/>
    <w:rsid w:val="001C01F3"/>
    <w:rsid w:val="001C02D2"/>
    <w:rsid w:val="001C0326"/>
    <w:rsid w:val="001C09E1"/>
    <w:rsid w:val="001C1C69"/>
    <w:rsid w:val="001C1ED0"/>
    <w:rsid w:val="001C1F2E"/>
    <w:rsid w:val="001C2066"/>
    <w:rsid w:val="001C22EC"/>
    <w:rsid w:val="001C29B2"/>
    <w:rsid w:val="001C2FD3"/>
    <w:rsid w:val="001C31EE"/>
    <w:rsid w:val="001C369D"/>
    <w:rsid w:val="001C397B"/>
    <w:rsid w:val="001C3997"/>
    <w:rsid w:val="001C3E15"/>
    <w:rsid w:val="001C3EA9"/>
    <w:rsid w:val="001C4152"/>
    <w:rsid w:val="001C49CC"/>
    <w:rsid w:val="001C5384"/>
    <w:rsid w:val="001C54C3"/>
    <w:rsid w:val="001C58F9"/>
    <w:rsid w:val="001C5CB8"/>
    <w:rsid w:val="001C5D3F"/>
    <w:rsid w:val="001C5D49"/>
    <w:rsid w:val="001C5FBC"/>
    <w:rsid w:val="001C669C"/>
    <w:rsid w:val="001C66F1"/>
    <w:rsid w:val="001C696D"/>
    <w:rsid w:val="001C6A5E"/>
    <w:rsid w:val="001C6B0F"/>
    <w:rsid w:val="001C7856"/>
    <w:rsid w:val="001C7B8C"/>
    <w:rsid w:val="001C7FA6"/>
    <w:rsid w:val="001D022B"/>
    <w:rsid w:val="001D03AE"/>
    <w:rsid w:val="001D043E"/>
    <w:rsid w:val="001D07AC"/>
    <w:rsid w:val="001D0931"/>
    <w:rsid w:val="001D0ACF"/>
    <w:rsid w:val="001D15B8"/>
    <w:rsid w:val="001D18E8"/>
    <w:rsid w:val="001D21B9"/>
    <w:rsid w:val="001D24D9"/>
    <w:rsid w:val="001D2C42"/>
    <w:rsid w:val="001D2D69"/>
    <w:rsid w:val="001D3162"/>
    <w:rsid w:val="001D35A9"/>
    <w:rsid w:val="001D3700"/>
    <w:rsid w:val="001D38EC"/>
    <w:rsid w:val="001D47B3"/>
    <w:rsid w:val="001D553B"/>
    <w:rsid w:val="001D6161"/>
    <w:rsid w:val="001D642E"/>
    <w:rsid w:val="001D7348"/>
    <w:rsid w:val="001D73B9"/>
    <w:rsid w:val="001D76C0"/>
    <w:rsid w:val="001D7D42"/>
    <w:rsid w:val="001E0255"/>
    <w:rsid w:val="001E0699"/>
    <w:rsid w:val="001E0DA4"/>
    <w:rsid w:val="001E0DF5"/>
    <w:rsid w:val="001E1186"/>
    <w:rsid w:val="001E132D"/>
    <w:rsid w:val="001E16EC"/>
    <w:rsid w:val="001E198E"/>
    <w:rsid w:val="001E21BD"/>
    <w:rsid w:val="001E22E5"/>
    <w:rsid w:val="001E240E"/>
    <w:rsid w:val="001E2650"/>
    <w:rsid w:val="001E2D26"/>
    <w:rsid w:val="001E33CC"/>
    <w:rsid w:val="001E35C9"/>
    <w:rsid w:val="001E370B"/>
    <w:rsid w:val="001E39AE"/>
    <w:rsid w:val="001E3EE2"/>
    <w:rsid w:val="001E41AB"/>
    <w:rsid w:val="001E4359"/>
    <w:rsid w:val="001E4ADC"/>
    <w:rsid w:val="001E5107"/>
    <w:rsid w:val="001E55CA"/>
    <w:rsid w:val="001E63AE"/>
    <w:rsid w:val="001E6770"/>
    <w:rsid w:val="001E7606"/>
    <w:rsid w:val="001E7D2A"/>
    <w:rsid w:val="001E7DC2"/>
    <w:rsid w:val="001E7F8E"/>
    <w:rsid w:val="001F03F9"/>
    <w:rsid w:val="001F0534"/>
    <w:rsid w:val="001F1483"/>
    <w:rsid w:val="001F14C2"/>
    <w:rsid w:val="001F1FEB"/>
    <w:rsid w:val="001F205F"/>
    <w:rsid w:val="001F267D"/>
    <w:rsid w:val="001F28B7"/>
    <w:rsid w:val="001F2B0F"/>
    <w:rsid w:val="001F34D8"/>
    <w:rsid w:val="001F3618"/>
    <w:rsid w:val="001F38DF"/>
    <w:rsid w:val="001F39DC"/>
    <w:rsid w:val="001F3EB3"/>
    <w:rsid w:val="001F46DF"/>
    <w:rsid w:val="001F4DE6"/>
    <w:rsid w:val="001F525F"/>
    <w:rsid w:val="001F5B24"/>
    <w:rsid w:val="001F628F"/>
    <w:rsid w:val="001F6616"/>
    <w:rsid w:val="001F6758"/>
    <w:rsid w:val="001F6AD3"/>
    <w:rsid w:val="001F6B5E"/>
    <w:rsid w:val="001F6E15"/>
    <w:rsid w:val="001F6E46"/>
    <w:rsid w:val="001F6E6F"/>
    <w:rsid w:val="001F6EB0"/>
    <w:rsid w:val="001F7055"/>
    <w:rsid w:val="001F70FB"/>
    <w:rsid w:val="001F733B"/>
    <w:rsid w:val="001F7397"/>
    <w:rsid w:val="001F7677"/>
    <w:rsid w:val="001F76AD"/>
    <w:rsid w:val="001F77A7"/>
    <w:rsid w:val="001F786F"/>
    <w:rsid w:val="00200844"/>
    <w:rsid w:val="00200C2F"/>
    <w:rsid w:val="00200DA5"/>
    <w:rsid w:val="00200DE6"/>
    <w:rsid w:val="002013E1"/>
    <w:rsid w:val="0020169F"/>
    <w:rsid w:val="0020188E"/>
    <w:rsid w:val="00201B06"/>
    <w:rsid w:val="00201B1A"/>
    <w:rsid w:val="002020C4"/>
    <w:rsid w:val="00202D1B"/>
    <w:rsid w:val="00203638"/>
    <w:rsid w:val="00203E3F"/>
    <w:rsid w:val="00203FE2"/>
    <w:rsid w:val="0020424E"/>
    <w:rsid w:val="00204840"/>
    <w:rsid w:val="00204A5B"/>
    <w:rsid w:val="00204DBE"/>
    <w:rsid w:val="00204E7C"/>
    <w:rsid w:val="00205172"/>
    <w:rsid w:val="002052B1"/>
    <w:rsid w:val="002056E7"/>
    <w:rsid w:val="00205868"/>
    <w:rsid w:val="00205D53"/>
    <w:rsid w:val="00206805"/>
    <w:rsid w:val="0020691C"/>
    <w:rsid w:val="00206A59"/>
    <w:rsid w:val="00206D4E"/>
    <w:rsid w:val="00206F87"/>
    <w:rsid w:val="002073DA"/>
    <w:rsid w:val="0020766D"/>
    <w:rsid w:val="002079AD"/>
    <w:rsid w:val="00207EEB"/>
    <w:rsid w:val="00210233"/>
    <w:rsid w:val="0021024F"/>
    <w:rsid w:val="002102A7"/>
    <w:rsid w:val="00210678"/>
    <w:rsid w:val="002106B4"/>
    <w:rsid w:val="00210EB5"/>
    <w:rsid w:val="00210F52"/>
    <w:rsid w:val="00212053"/>
    <w:rsid w:val="0021265F"/>
    <w:rsid w:val="00212B61"/>
    <w:rsid w:val="002130B2"/>
    <w:rsid w:val="00214CE1"/>
    <w:rsid w:val="0021510B"/>
    <w:rsid w:val="00215AFD"/>
    <w:rsid w:val="00215BDE"/>
    <w:rsid w:val="00215E5C"/>
    <w:rsid w:val="002161BC"/>
    <w:rsid w:val="002161E8"/>
    <w:rsid w:val="002167EE"/>
    <w:rsid w:val="00216C41"/>
    <w:rsid w:val="002202C5"/>
    <w:rsid w:val="002206A5"/>
    <w:rsid w:val="0022111A"/>
    <w:rsid w:val="002215DF"/>
    <w:rsid w:val="00221831"/>
    <w:rsid w:val="002218FB"/>
    <w:rsid w:val="00221D77"/>
    <w:rsid w:val="002224BB"/>
    <w:rsid w:val="002224CA"/>
    <w:rsid w:val="00222529"/>
    <w:rsid w:val="00222877"/>
    <w:rsid w:val="00222B29"/>
    <w:rsid w:val="002232A9"/>
    <w:rsid w:val="002236D2"/>
    <w:rsid w:val="00223BAE"/>
    <w:rsid w:val="00224159"/>
    <w:rsid w:val="0022428F"/>
    <w:rsid w:val="0022451A"/>
    <w:rsid w:val="0022453C"/>
    <w:rsid w:val="00224B7B"/>
    <w:rsid w:val="00225009"/>
    <w:rsid w:val="002250D3"/>
    <w:rsid w:val="002252D0"/>
    <w:rsid w:val="0022577A"/>
    <w:rsid w:val="00225788"/>
    <w:rsid w:val="00225F7C"/>
    <w:rsid w:val="00226517"/>
    <w:rsid w:val="00226860"/>
    <w:rsid w:val="00227294"/>
    <w:rsid w:val="00227A7D"/>
    <w:rsid w:val="00227F78"/>
    <w:rsid w:val="002301B1"/>
    <w:rsid w:val="002301FC"/>
    <w:rsid w:val="00230456"/>
    <w:rsid w:val="00230A7F"/>
    <w:rsid w:val="00230C33"/>
    <w:rsid w:val="00230DB4"/>
    <w:rsid w:val="00230EDE"/>
    <w:rsid w:val="00230F14"/>
    <w:rsid w:val="00231489"/>
    <w:rsid w:val="00231867"/>
    <w:rsid w:val="00231D07"/>
    <w:rsid w:val="00231FA3"/>
    <w:rsid w:val="0023246E"/>
    <w:rsid w:val="00232476"/>
    <w:rsid w:val="00232A9D"/>
    <w:rsid w:val="00233092"/>
    <w:rsid w:val="00233561"/>
    <w:rsid w:val="0023377D"/>
    <w:rsid w:val="002338B7"/>
    <w:rsid w:val="00233E1D"/>
    <w:rsid w:val="002341F1"/>
    <w:rsid w:val="00234686"/>
    <w:rsid w:val="00234C87"/>
    <w:rsid w:val="002350D3"/>
    <w:rsid w:val="00235163"/>
    <w:rsid w:val="002351A1"/>
    <w:rsid w:val="0023526B"/>
    <w:rsid w:val="00235DA6"/>
    <w:rsid w:val="00235EB6"/>
    <w:rsid w:val="00236C33"/>
    <w:rsid w:val="00236EDC"/>
    <w:rsid w:val="002370BD"/>
    <w:rsid w:val="002378DD"/>
    <w:rsid w:val="00237C34"/>
    <w:rsid w:val="00240429"/>
    <w:rsid w:val="0024058E"/>
    <w:rsid w:val="00240A09"/>
    <w:rsid w:val="00240E66"/>
    <w:rsid w:val="00241994"/>
    <w:rsid w:val="00241AED"/>
    <w:rsid w:val="00241C12"/>
    <w:rsid w:val="002429C1"/>
    <w:rsid w:val="00242AA5"/>
    <w:rsid w:val="00242AEC"/>
    <w:rsid w:val="00242F23"/>
    <w:rsid w:val="00243122"/>
    <w:rsid w:val="002438A9"/>
    <w:rsid w:val="00243AA8"/>
    <w:rsid w:val="00243E14"/>
    <w:rsid w:val="00243E93"/>
    <w:rsid w:val="0024443D"/>
    <w:rsid w:val="00244568"/>
    <w:rsid w:val="00244618"/>
    <w:rsid w:val="00244773"/>
    <w:rsid w:val="00244C0F"/>
    <w:rsid w:val="00244C9C"/>
    <w:rsid w:val="00244EAA"/>
    <w:rsid w:val="00244F06"/>
    <w:rsid w:val="0024504C"/>
    <w:rsid w:val="0024562E"/>
    <w:rsid w:val="002456DD"/>
    <w:rsid w:val="002457C0"/>
    <w:rsid w:val="00245D3F"/>
    <w:rsid w:val="0024632D"/>
    <w:rsid w:val="00246449"/>
    <w:rsid w:val="00246BCB"/>
    <w:rsid w:val="00246E67"/>
    <w:rsid w:val="00246E6D"/>
    <w:rsid w:val="00247113"/>
    <w:rsid w:val="002473DA"/>
    <w:rsid w:val="00247629"/>
    <w:rsid w:val="00247933"/>
    <w:rsid w:val="002505CB"/>
    <w:rsid w:val="00250F49"/>
    <w:rsid w:val="00250F8B"/>
    <w:rsid w:val="0025122C"/>
    <w:rsid w:val="00251239"/>
    <w:rsid w:val="0025128E"/>
    <w:rsid w:val="00251E1E"/>
    <w:rsid w:val="00251F9F"/>
    <w:rsid w:val="00251FDB"/>
    <w:rsid w:val="0025206C"/>
    <w:rsid w:val="00252337"/>
    <w:rsid w:val="0025302E"/>
    <w:rsid w:val="0025357D"/>
    <w:rsid w:val="00253719"/>
    <w:rsid w:val="0025373F"/>
    <w:rsid w:val="00253986"/>
    <w:rsid w:val="00253F76"/>
    <w:rsid w:val="00254D31"/>
    <w:rsid w:val="00255065"/>
    <w:rsid w:val="00255BDC"/>
    <w:rsid w:val="00255CA6"/>
    <w:rsid w:val="002560D1"/>
    <w:rsid w:val="00256A90"/>
    <w:rsid w:val="00257101"/>
    <w:rsid w:val="0025745F"/>
    <w:rsid w:val="00257846"/>
    <w:rsid w:val="00257B37"/>
    <w:rsid w:val="00257B70"/>
    <w:rsid w:val="00257C03"/>
    <w:rsid w:val="00257D14"/>
    <w:rsid w:val="00257FEF"/>
    <w:rsid w:val="0026055F"/>
    <w:rsid w:val="002605C2"/>
    <w:rsid w:val="0026065B"/>
    <w:rsid w:val="00260749"/>
    <w:rsid w:val="00260A50"/>
    <w:rsid w:val="00260B7C"/>
    <w:rsid w:val="002619B6"/>
    <w:rsid w:val="00261A41"/>
    <w:rsid w:val="00261ABE"/>
    <w:rsid w:val="0026206B"/>
    <w:rsid w:val="00262C25"/>
    <w:rsid w:val="00263761"/>
    <w:rsid w:val="00263860"/>
    <w:rsid w:val="00263A97"/>
    <w:rsid w:val="00263CE2"/>
    <w:rsid w:val="00264302"/>
    <w:rsid w:val="002643F2"/>
    <w:rsid w:val="0026460D"/>
    <w:rsid w:val="00264962"/>
    <w:rsid w:val="00264B5C"/>
    <w:rsid w:val="00265625"/>
    <w:rsid w:val="0026568C"/>
    <w:rsid w:val="00265BF6"/>
    <w:rsid w:val="002660F7"/>
    <w:rsid w:val="00266126"/>
    <w:rsid w:val="00266964"/>
    <w:rsid w:val="0026699B"/>
    <w:rsid w:val="00266BB0"/>
    <w:rsid w:val="00266BFA"/>
    <w:rsid w:val="00266F5D"/>
    <w:rsid w:val="00266FC7"/>
    <w:rsid w:val="00267180"/>
    <w:rsid w:val="00267383"/>
    <w:rsid w:val="002673B5"/>
    <w:rsid w:val="00267811"/>
    <w:rsid w:val="00267821"/>
    <w:rsid w:val="002679FF"/>
    <w:rsid w:val="00267DD3"/>
    <w:rsid w:val="002700A0"/>
    <w:rsid w:val="0027095A"/>
    <w:rsid w:val="002709B4"/>
    <w:rsid w:val="002711FC"/>
    <w:rsid w:val="002713A6"/>
    <w:rsid w:val="002715F6"/>
    <w:rsid w:val="00271798"/>
    <w:rsid w:val="00271AF5"/>
    <w:rsid w:val="00272046"/>
    <w:rsid w:val="0027255E"/>
    <w:rsid w:val="002727C2"/>
    <w:rsid w:val="00272CD3"/>
    <w:rsid w:val="00272E09"/>
    <w:rsid w:val="0027303C"/>
    <w:rsid w:val="00273341"/>
    <w:rsid w:val="0027458E"/>
    <w:rsid w:val="00275109"/>
    <w:rsid w:val="00275250"/>
    <w:rsid w:val="002752F3"/>
    <w:rsid w:val="0027550E"/>
    <w:rsid w:val="00275831"/>
    <w:rsid w:val="00275854"/>
    <w:rsid w:val="00275C9E"/>
    <w:rsid w:val="00275CBB"/>
    <w:rsid w:val="00275CE0"/>
    <w:rsid w:val="00275D43"/>
    <w:rsid w:val="00275E47"/>
    <w:rsid w:val="00275FDD"/>
    <w:rsid w:val="002764FA"/>
    <w:rsid w:val="002768EC"/>
    <w:rsid w:val="0027712B"/>
    <w:rsid w:val="00277F47"/>
    <w:rsid w:val="002802FA"/>
    <w:rsid w:val="002808CD"/>
    <w:rsid w:val="00281251"/>
    <w:rsid w:val="00281505"/>
    <w:rsid w:val="0028178A"/>
    <w:rsid w:val="00281BA9"/>
    <w:rsid w:val="00281EEA"/>
    <w:rsid w:val="00282439"/>
    <w:rsid w:val="002828AF"/>
    <w:rsid w:val="0028382A"/>
    <w:rsid w:val="00283AF5"/>
    <w:rsid w:val="002842CF"/>
    <w:rsid w:val="00284425"/>
    <w:rsid w:val="002845D5"/>
    <w:rsid w:val="00284858"/>
    <w:rsid w:val="00285312"/>
    <w:rsid w:val="002858E0"/>
    <w:rsid w:val="002859FD"/>
    <w:rsid w:val="00285B5A"/>
    <w:rsid w:val="00285DB5"/>
    <w:rsid w:val="002866D8"/>
    <w:rsid w:val="00286BC8"/>
    <w:rsid w:val="00286EFA"/>
    <w:rsid w:val="0028709C"/>
    <w:rsid w:val="0028721E"/>
    <w:rsid w:val="002875A5"/>
    <w:rsid w:val="00287C54"/>
    <w:rsid w:val="00287EE1"/>
    <w:rsid w:val="002904BE"/>
    <w:rsid w:val="0029085B"/>
    <w:rsid w:val="0029158C"/>
    <w:rsid w:val="00291B18"/>
    <w:rsid w:val="00292470"/>
    <w:rsid w:val="00292C2E"/>
    <w:rsid w:val="00292C79"/>
    <w:rsid w:val="00292E3E"/>
    <w:rsid w:val="002936AD"/>
    <w:rsid w:val="00293705"/>
    <w:rsid w:val="002944C9"/>
    <w:rsid w:val="00294C74"/>
    <w:rsid w:val="00294F1C"/>
    <w:rsid w:val="002952D8"/>
    <w:rsid w:val="002954C0"/>
    <w:rsid w:val="002959B8"/>
    <w:rsid w:val="0029610D"/>
    <w:rsid w:val="002964D5"/>
    <w:rsid w:val="002969D1"/>
    <w:rsid w:val="00296A01"/>
    <w:rsid w:val="00296C36"/>
    <w:rsid w:val="00296C7F"/>
    <w:rsid w:val="002976D3"/>
    <w:rsid w:val="002A02AE"/>
    <w:rsid w:val="002A0369"/>
    <w:rsid w:val="002A050D"/>
    <w:rsid w:val="002A0B3F"/>
    <w:rsid w:val="002A10C1"/>
    <w:rsid w:val="002A122B"/>
    <w:rsid w:val="002A12C3"/>
    <w:rsid w:val="002A1C1C"/>
    <w:rsid w:val="002A1E5C"/>
    <w:rsid w:val="002A1F89"/>
    <w:rsid w:val="002A2790"/>
    <w:rsid w:val="002A2955"/>
    <w:rsid w:val="002A2990"/>
    <w:rsid w:val="002A2CAE"/>
    <w:rsid w:val="002A39ED"/>
    <w:rsid w:val="002A3D4E"/>
    <w:rsid w:val="002A42E1"/>
    <w:rsid w:val="002A4473"/>
    <w:rsid w:val="002A469F"/>
    <w:rsid w:val="002A4B30"/>
    <w:rsid w:val="002A516E"/>
    <w:rsid w:val="002A56CD"/>
    <w:rsid w:val="002A5C1D"/>
    <w:rsid w:val="002A612E"/>
    <w:rsid w:val="002A6B67"/>
    <w:rsid w:val="002A6D0F"/>
    <w:rsid w:val="002A6E75"/>
    <w:rsid w:val="002A7093"/>
    <w:rsid w:val="002A726F"/>
    <w:rsid w:val="002A765C"/>
    <w:rsid w:val="002A771A"/>
    <w:rsid w:val="002A771E"/>
    <w:rsid w:val="002A7D7F"/>
    <w:rsid w:val="002A7DA9"/>
    <w:rsid w:val="002A7DDB"/>
    <w:rsid w:val="002B00FA"/>
    <w:rsid w:val="002B04B9"/>
    <w:rsid w:val="002B083F"/>
    <w:rsid w:val="002B097E"/>
    <w:rsid w:val="002B099E"/>
    <w:rsid w:val="002B0A57"/>
    <w:rsid w:val="002B0B88"/>
    <w:rsid w:val="002B1070"/>
    <w:rsid w:val="002B10C6"/>
    <w:rsid w:val="002B1341"/>
    <w:rsid w:val="002B16D1"/>
    <w:rsid w:val="002B1AC2"/>
    <w:rsid w:val="002B1B93"/>
    <w:rsid w:val="002B1C5E"/>
    <w:rsid w:val="002B223D"/>
    <w:rsid w:val="002B2F17"/>
    <w:rsid w:val="002B33BA"/>
    <w:rsid w:val="002B36F1"/>
    <w:rsid w:val="002B3759"/>
    <w:rsid w:val="002B431E"/>
    <w:rsid w:val="002B4443"/>
    <w:rsid w:val="002B4675"/>
    <w:rsid w:val="002B482F"/>
    <w:rsid w:val="002B4DD2"/>
    <w:rsid w:val="002B4E46"/>
    <w:rsid w:val="002B5FD8"/>
    <w:rsid w:val="002B6078"/>
    <w:rsid w:val="002B6123"/>
    <w:rsid w:val="002B6787"/>
    <w:rsid w:val="002B6814"/>
    <w:rsid w:val="002B6D2A"/>
    <w:rsid w:val="002B6D56"/>
    <w:rsid w:val="002B6D7F"/>
    <w:rsid w:val="002B715B"/>
    <w:rsid w:val="002B7DA7"/>
    <w:rsid w:val="002C0080"/>
    <w:rsid w:val="002C018D"/>
    <w:rsid w:val="002C0368"/>
    <w:rsid w:val="002C0630"/>
    <w:rsid w:val="002C09AD"/>
    <w:rsid w:val="002C0C64"/>
    <w:rsid w:val="002C14DE"/>
    <w:rsid w:val="002C1633"/>
    <w:rsid w:val="002C197C"/>
    <w:rsid w:val="002C26A6"/>
    <w:rsid w:val="002C29B3"/>
    <w:rsid w:val="002C2B45"/>
    <w:rsid w:val="002C2DA2"/>
    <w:rsid w:val="002C302E"/>
    <w:rsid w:val="002C34CA"/>
    <w:rsid w:val="002C37AD"/>
    <w:rsid w:val="002C3C8A"/>
    <w:rsid w:val="002C456A"/>
    <w:rsid w:val="002C4A11"/>
    <w:rsid w:val="002C4C83"/>
    <w:rsid w:val="002C4FF1"/>
    <w:rsid w:val="002C508E"/>
    <w:rsid w:val="002C5AED"/>
    <w:rsid w:val="002C5C5C"/>
    <w:rsid w:val="002C5F93"/>
    <w:rsid w:val="002C617F"/>
    <w:rsid w:val="002C65E6"/>
    <w:rsid w:val="002C6745"/>
    <w:rsid w:val="002C6A34"/>
    <w:rsid w:val="002C71D9"/>
    <w:rsid w:val="002C7613"/>
    <w:rsid w:val="002C7989"/>
    <w:rsid w:val="002D0A56"/>
    <w:rsid w:val="002D0CEC"/>
    <w:rsid w:val="002D0FB2"/>
    <w:rsid w:val="002D1040"/>
    <w:rsid w:val="002D14B1"/>
    <w:rsid w:val="002D1704"/>
    <w:rsid w:val="002D199D"/>
    <w:rsid w:val="002D2B89"/>
    <w:rsid w:val="002D2BB4"/>
    <w:rsid w:val="002D3344"/>
    <w:rsid w:val="002D3901"/>
    <w:rsid w:val="002D3D36"/>
    <w:rsid w:val="002D4195"/>
    <w:rsid w:val="002D4BF6"/>
    <w:rsid w:val="002D5655"/>
    <w:rsid w:val="002D59E5"/>
    <w:rsid w:val="002D5B0F"/>
    <w:rsid w:val="002D690B"/>
    <w:rsid w:val="002D691B"/>
    <w:rsid w:val="002D6A33"/>
    <w:rsid w:val="002D6E54"/>
    <w:rsid w:val="002D6E72"/>
    <w:rsid w:val="002D6F5F"/>
    <w:rsid w:val="002D6FFA"/>
    <w:rsid w:val="002D7564"/>
    <w:rsid w:val="002D78DD"/>
    <w:rsid w:val="002D79AE"/>
    <w:rsid w:val="002E023D"/>
    <w:rsid w:val="002E0283"/>
    <w:rsid w:val="002E071C"/>
    <w:rsid w:val="002E0874"/>
    <w:rsid w:val="002E0D9E"/>
    <w:rsid w:val="002E15AA"/>
    <w:rsid w:val="002E1AE6"/>
    <w:rsid w:val="002E1CA1"/>
    <w:rsid w:val="002E2095"/>
    <w:rsid w:val="002E246D"/>
    <w:rsid w:val="002E268D"/>
    <w:rsid w:val="002E2729"/>
    <w:rsid w:val="002E27F6"/>
    <w:rsid w:val="002E2838"/>
    <w:rsid w:val="002E3705"/>
    <w:rsid w:val="002E40DD"/>
    <w:rsid w:val="002E4197"/>
    <w:rsid w:val="002E42F0"/>
    <w:rsid w:val="002E432C"/>
    <w:rsid w:val="002E4556"/>
    <w:rsid w:val="002E493F"/>
    <w:rsid w:val="002E4C9B"/>
    <w:rsid w:val="002E4E0F"/>
    <w:rsid w:val="002E4E87"/>
    <w:rsid w:val="002E5528"/>
    <w:rsid w:val="002E564C"/>
    <w:rsid w:val="002E58EB"/>
    <w:rsid w:val="002E599B"/>
    <w:rsid w:val="002E5C77"/>
    <w:rsid w:val="002E6047"/>
    <w:rsid w:val="002E6448"/>
    <w:rsid w:val="002E672C"/>
    <w:rsid w:val="002E69A2"/>
    <w:rsid w:val="002E72F6"/>
    <w:rsid w:val="002E74E6"/>
    <w:rsid w:val="002E790C"/>
    <w:rsid w:val="002E7DF5"/>
    <w:rsid w:val="002F0498"/>
    <w:rsid w:val="002F0D91"/>
    <w:rsid w:val="002F0EDD"/>
    <w:rsid w:val="002F11E2"/>
    <w:rsid w:val="002F11F4"/>
    <w:rsid w:val="002F192C"/>
    <w:rsid w:val="002F198D"/>
    <w:rsid w:val="002F1BF8"/>
    <w:rsid w:val="002F1CBB"/>
    <w:rsid w:val="002F1FC5"/>
    <w:rsid w:val="002F227C"/>
    <w:rsid w:val="002F2309"/>
    <w:rsid w:val="002F2355"/>
    <w:rsid w:val="002F2403"/>
    <w:rsid w:val="002F2464"/>
    <w:rsid w:val="002F2A7F"/>
    <w:rsid w:val="002F2B64"/>
    <w:rsid w:val="002F334F"/>
    <w:rsid w:val="002F344B"/>
    <w:rsid w:val="002F35D6"/>
    <w:rsid w:val="002F5161"/>
    <w:rsid w:val="002F5460"/>
    <w:rsid w:val="002F5461"/>
    <w:rsid w:val="002F59F8"/>
    <w:rsid w:val="002F6596"/>
    <w:rsid w:val="002F676E"/>
    <w:rsid w:val="002F6DCE"/>
    <w:rsid w:val="002F6E18"/>
    <w:rsid w:val="002F7682"/>
    <w:rsid w:val="002F7BCC"/>
    <w:rsid w:val="002F7E6F"/>
    <w:rsid w:val="0030003E"/>
    <w:rsid w:val="00300233"/>
    <w:rsid w:val="00301163"/>
    <w:rsid w:val="003016EC"/>
    <w:rsid w:val="003017ED"/>
    <w:rsid w:val="003018D1"/>
    <w:rsid w:val="00301E95"/>
    <w:rsid w:val="00301F58"/>
    <w:rsid w:val="003025B5"/>
    <w:rsid w:val="00302744"/>
    <w:rsid w:val="00303296"/>
    <w:rsid w:val="0030364C"/>
    <w:rsid w:val="003038C9"/>
    <w:rsid w:val="00304608"/>
    <w:rsid w:val="00304A9D"/>
    <w:rsid w:val="00304AE8"/>
    <w:rsid w:val="0030543C"/>
    <w:rsid w:val="003056AF"/>
    <w:rsid w:val="00305A71"/>
    <w:rsid w:val="0030626D"/>
    <w:rsid w:val="0030693A"/>
    <w:rsid w:val="00306A93"/>
    <w:rsid w:val="00306BE6"/>
    <w:rsid w:val="00306C33"/>
    <w:rsid w:val="00307155"/>
    <w:rsid w:val="0030783D"/>
    <w:rsid w:val="003079A0"/>
    <w:rsid w:val="00307B9B"/>
    <w:rsid w:val="00307C73"/>
    <w:rsid w:val="00310A17"/>
    <w:rsid w:val="00310C29"/>
    <w:rsid w:val="00310D0F"/>
    <w:rsid w:val="00310EEB"/>
    <w:rsid w:val="0031113C"/>
    <w:rsid w:val="00311145"/>
    <w:rsid w:val="00311205"/>
    <w:rsid w:val="00311237"/>
    <w:rsid w:val="0031165E"/>
    <w:rsid w:val="00311BA8"/>
    <w:rsid w:val="00311CB0"/>
    <w:rsid w:val="00311D02"/>
    <w:rsid w:val="00311FEF"/>
    <w:rsid w:val="0031229A"/>
    <w:rsid w:val="003126FA"/>
    <w:rsid w:val="00312A9E"/>
    <w:rsid w:val="00312C1A"/>
    <w:rsid w:val="00312DC5"/>
    <w:rsid w:val="00313041"/>
    <w:rsid w:val="00313123"/>
    <w:rsid w:val="0031316D"/>
    <w:rsid w:val="0031373C"/>
    <w:rsid w:val="00313835"/>
    <w:rsid w:val="00313ADC"/>
    <w:rsid w:val="003140F3"/>
    <w:rsid w:val="00314153"/>
    <w:rsid w:val="00314566"/>
    <w:rsid w:val="0031521D"/>
    <w:rsid w:val="003152AC"/>
    <w:rsid w:val="00315887"/>
    <w:rsid w:val="00315D11"/>
    <w:rsid w:val="003162CD"/>
    <w:rsid w:val="00316907"/>
    <w:rsid w:val="00316B64"/>
    <w:rsid w:val="00317880"/>
    <w:rsid w:val="003201D2"/>
    <w:rsid w:val="003206B6"/>
    <w:rsid w:val="003208E6"/>
    <w:rsid w:val="00320D9F"/>
    <w:rsid w:val="0032124E"/>
    <w:rsid w:val="003216D4"/>
    <w:rsid w:val="00321CBD"/>
    <w:rsid w:val="00321D18"/>
    <w:rsid w:val="00321F10"/>
    <w:rsid w:val="00322349"/>
    <w:rsid w:val="00322C4E"/>
    <w:rsid w:val="00323204"/>
    <w:rsid w:val="003232D1"/>
    <w:rsid w:val="00323966"/>
    <w:rsid w:val="00323C39"/>
    <w:rsid w:val="0032414D"/>
    <w:rsid w:val="00324175"/>
    <w:rsid w:val="00324261"/>
    <w:rsid w:val="00324C74"/>
    <w:rsid w:val="00324DC4"/>
    <w:rsid w:val="00324E91"/>
    <w:rsid w:val="00324F92"/>
    <w:rsid w:val="003254AA"/>
    <w:rsid w:val="00325C03"/>
    <w:rsid w:val="00325E24"/>
    <w:rsid w:val="00326214"/>
    <w:rsid w:val="00326355"/>
    <w:rsid w:val="0032669A"/>
    <w:rsid w:val="00326D42"/>
    <w:rsid w:val="00326FC1"/>
    <w:rsid w:val="0032714D"/>
    <w:rsid w:val="003271B4"/>
    <w:rsid w:val="003274A7"/>
    <w:rsid w:val="00327644"/>
    <w:rsid w:val="0033116E"/>
    <w:rsid w:val="00331604"/>
    <w:rsid w:val="00332140"/>
    <w:rsid w:val="003324FA"/>
    <w:rsid w:val="00332B8B"/>
    <w:rsid w:val="003333D6"/>
    <w:rsid w:val="003334B2"/>
    <w:rsid w:val="003338AC"/>
    <w:rsid w:val="003344A3"/>
    <w:rsid w:val="00335054"/>
    <w:rsid w:val="003353FE"/>
    <w:rsid w:val="003354D9"/>
    <w:rsid w:val="00335683"/>
    <w:rsid w:val="00335748"/>
    <w:rsid w:val="00336534"/>
    <w:rsid w:val="0033668A"/>
    <w:rsid w:val="00336939"/>
    <w:rsid w:val="003369EA"/>
    <w:rsid w:val="00336B4B"/>
    <w:rsid w:val="00336EE3"/>
    <w:rsid w:val="00337687"/>
    <w:rsid w:val="003379C7"/>
    <w:rsid w:val="00337C14"/>
    <w:rsid w:val="00337D57"/>
    <w:rsid w:val="00337E75"/>
    <w:rsid w:val="003408C3"/>
    <w:rsid w:val="00340DD3"/>
    <w:rsid w:val="00341665"/>
    <w:rsid w:val="003418A4"/>
    <w:rsid w:val="00341C2B"/>
    <w:rsid w:val="0034216B"/>
    <w:rsid w:val="00342284"/>
    <w:rsid w:val="00342758"/>
    <w:rsid w:val="00342AAE"/>
    <w:rsid w:val="00342E81"/>
    <w:rsid w:val="003434BA"/>
    <w:rsid w:val="003436A3"/>
    <w:rsid w:val="00343719"/>
    <w:rsid w:val="0034377E"/>
    <w:rsid w:val="00343907"/>
    <w:rsid w:val="00343923"/>
    <w:rsid w:val="00343A58"/>
    <w:rsid w:val="0034430E"/>
    <w:rsid w:val="00344340"/>
    <w:rsid w:val="003445A7"/>
    <w:rsid w:val="003445A9"/>
    <w:rsid w:val="00344647"/>
    <w:rsid w:val="0034480F"/>
    <w:rsid w:val="0034488C"/>
    <w:rsid w:val="00344A54"/>
    <w:rsid w:val="003451AD"/>
    <w:rsid w:val="003454CE"/>
    <w:rsid w:val="003459E0"/>
    <w:rsid w:val="00345C27"/>
    <w:rsid w:val="00345CEB"/>
    <w:rsid w:val="00345EAE"/>
    <w:rsid w:val="00346001"/>
    <w:rsid w:val="003460B2"/>
    <w:rsid w:val="003461AA"/>
    <w:rsid w:val="003463DB"/>
    <w:rsid w:val="003467E2"/>
    <w:rsid w:val="00346F51"/>
    <w:rsid w:val="0035093C"/>
    <w:rsid w:val="00350BCF"/>
    <w:rsid w:val="00351025"/>
    <w:rsid w:val="00351198"/>
    <w:rsid w:val="0035162A"/>
    <w:rsid w:val="00351A35"/>
    <w:rsid w:val="00351BE5"/>
    <w:rsid w:val="00351D18"/>
    <w:rsid w:val="0035215C"/>
    <w:rsid w:val="00352A60"/>
    <w:rsid w:val="00352B0D"/>
    <w:rsid w:val="00352EAA"/>
    <w:rsid w:val="00353518"/>
    <w:rsid w:val="00353CE9"/>
    <w:rsid w:val="00353E4B"/>
    <w:rsid w:val="0035416A"/>
    <w:rsid w:val="0035457A"/>
    <w:rsid w:val="0035494B"/>
    <w:rsid w:val="00354B5E"/>
    <w:rsid w:val="00354C01"/>
    <w:rsid w:val="00354C3A"/>
    <w:rsid w:val="00355099"/>
    <w:rsid w:val="00355565"/>
    <w:rsid w:val="003556B3"/>
    <w:rsid w:val="0035582B"/>
    <w:rsid w:val="00355B18"/>
    <w:rsid w:val="003566BE"/>
    <w:rsid w:val="003568DB"/>
    <w:rsid w:val="00357078"/>
    <w:rsid w:val="00357594"/>
    <w:rsid w:val="003575A8"/>
    <w:rsid w:val="003576E9"/>
    <w:rsid w:val="00357BF2"/>
    <w:rsid w:val="00357DAF"/>
    <w:rsid w:val="00357F1A"/>
    <w:rsid w:val="0036149C"/>
    <w:rsid w:val="003614DF"/>
    <w:rsid w:val="0036221B"/>
    <w:rsid w:val="003626A1"/>
    <w:rsid w:val="0036307C"/>
    <w:rsid w:val="00363210"/>
    <w:rsid w:val="00363258"/>
    <w:rsid w:val="0036337D"/>
    <w:rsid w:val="00363AEC"/>
    <w:rsid w:val="00363EB1"/>
    <w:rsid w:val="00365165"/>
    <w:rsid w:val="003651A2"/>
    <w:rsid w:val="0036547A"/>
    <w:rsid w:val="003654E1"/>
    <w:rsid w:val="00365D2B"/>
    <w:rsid w:val="00366066"/>
    <w:rsid w:val="0036627B"/>
    <w:rsid w:val="003668ED"/>
    <w:rsid w:val="003670D9"/>
    <w:rsid w:val="00367CE4"/>
    <w:rsid w:val="00367E85"/>
    <w:rsid w:val="0037018A"/>
    <w:rsid w:val="003701F7"/>
    <w:rsid w:val="003703F6"/>
    <w:rsid w:val="0037046A"/>
    <w:rsid w:val="00370D0B"/>
    <w:rsid w:val="00371632"/>
    <w:rsid w:val="00371E6F"/>
    <w:rsid w:val="0037204A"/>
    <w:rsid w:val="00372600"/>
    <w:rsid w:val="00372C0F"/>
    <w:rsid w:val="00372D16"/>
    <w:rsid w:val="003730F6"/>
    <w:rsid w:val="003733BB"/>
    <w:rsid w:val="003734A9"/>
    <w:rsid w:val="003738D1"/>
    <w:rsid w:val="0037394D"/>
    <w:rsid w:val="00373BFF"/>
    <w:rsid w:val="00373DCC"/>
    <w:rsid w:val="003749E8"/>
    <w:rsid w:val="00374AB9"/>
    <w:rsid w:val="00374DDC"/>
    <w:rsid w:val="00374F1C"/>
    <w:rsid w:val="003751CF"/>
    <w:rsid w:val="00375623"/>
    <w:rsid w:val="003757C3"/>
    <w:rsid w:val="00375C83"/>
    <w:rsid w:val="00375DFA"/>
    <w:rsid w:val="00375EEE"/>
    <w:rsid w:val="00375EFA"/>
    <w:rsid w:val="00375F81"/>
    <w:rsid w:val="00375FAB"/>
    <w:rsid w:val="0037638E"/>
    <w:rsid w:val="00376509"/>
    <w:rsid w:val="00376530"/>
    <w:rsid w:val="003768D3"/>
    <w:rsid w:val="00376A80"/>
    <w:rsid w:val="00376B64"/>
    <w:rsid w:val="00377CDB"/>
    <w:rsid w:val="00377F6D"/>
    <w:rsid w:val="00380017"/>
    <w:rsid w:val="00380DE3"/>
    <w:rsid w:val="00380FAE"/>
    <w:rsid w:val="003810BC"/>
    <w:rsid w:val="0038144E"/>
    <w:rsid w:val="00381967"/>
    <w:rsid w:val="00381E64"/>
    <w:rsid w:val="00381FB2"/>
    <w:rsid w:val="003820FB"/>
    <w:rsid w:val="0038272F"/>
    <w:rsid w:val="00382830"/>
    <w:rsid w:val="00382D09"/>
    <w:rsid w:val="003832A7"/>
    <w:rsid w:val="00383A55"/>
    <w:rsid w:val="00384053"/>
    <w:rsid w:val="00384081"/>
    <w:rsid w:val="003841A8"/>
    <w:rsid w:val="003849B3"/>
    <w:rsid w:val="003855E8"/>
    <w:rsid w:val="00385B5D"/>
    <w:rsid w:val="00385CC8"/>
    <w:rsid w:val="00385E36"/>
    <w:rsid w:val="00385EFF"/>
    <w:rsid w:val="0038608B"/>
    <w:rsid w:val="003860AD"/>
    <w:rsid w:val="003862B3"/>
    <w:rsid w:val="0038657D"/>
    <w:rsid w:val="00387654"/>
    <w:rsid w:val="00387B56"/>
    <w:rsid w:val="00387E2E"/>
    <w:rsid w:val="003905AD"/>
    <w:rsid w:val="003908E7"/>
    <w:rsid w:val="00390C05"/>
    <w:rsid w:val="00390D44"/>
    <w:rsid w:val="00390EA1"/>
    <w:rsid w:val="00391168"/>
    <w:rsid w:val="00391332"/>
    <w:rsid w:val="00391549"/>
    <w:rsid w:val="003915C3"/>
    <w:rsid w:val="00391964"/>
    <w:rsid w:val="00392202"/>
    <w:rsid w:val="0039237C"/>
    <w:rsid w:val="00393397"/>
    <w:rsid w:val="003933DD"/>
    <w:rsid w:val="00393C1F"/>
    <w:rsid w:val="00393CA0"/>
    <w:rsid w:val="00393DA6"/>
    <w:rsid w:val="00393E9B"/>
    <w:rsid w:val="00394241"/>
    <w:rsid w:val="00394C15"/>
    <w:rsid w:val="00394C54"/>
    <w:rsid w:val="00394DB5"/>
    <w:rsid w:val="00394FFC"/>
    <w:rsid w:val="0039501C"/>
    <w:rsid w:val="00395500"/>
    <w:rsid w:val="003955B2"/>
    <w:rsid w:val="0039561A"/>
    <w:rsid w:val="003957D5"/>
    <w:rsid w:val="0039592D"/>
    <w:rsid w:val="00395CE0"/>
    <w:rsid w:val="00396005"/>
    <w:rsid w:val="003965B5"/>
    <w:rsid w:val="0039662C"/>
    <w:rsid w:val="0039674E"/>
    <w:rsid w:val="003968DF"/>
    <w:rsid w:val="00396900"/>
    <w:rsid w:val="00396A38"/>
    <w:rsid w:val="00396DE0"/>
    <w:rsid w:val="003971F6"/>
    <w:rsid w:val="00397647"/>
    <w:rsid w:val="003976C1"/>
    <w:rsid w:val="0039775E"/>
    <w:rsid w:val="0039793F"/>
    <w:rsid w:val="003A02F6"/>
    <w:rsid w:val="003A03E8"/>
    <w:rsid w:val="003A077C"/>
    <w:rsid w:val="003A0906"/>
    <w:rsid w:val="003A098D"/>
    <w:rsid w:val="003A0C41"/>
    <w:rsid w:val="003A1256"/>
    <w:rsid w:val="003A15F4"/>
    <w:rsid w:val="003A16DF"/>
    <w:rsid w:val="003A18F2"/>
    <w:rsid w:val="003A19B0"/>
    <w:rsid w:val="003A1AC7"/>
    <w:rsid w:val="003A20F5"/>
    <w:rsid w:val="003A2231"/>
    <w:rsid w:val="003A2583"/>
    <w:rsid w:val="003A27D1"/>
    <w:rsid w:val="003A282C"/>
    <w:rsid w:val="003A2DA7"/>
    <w:rsid w:val="003A3155"/>
    <w:rsid w:val="003A343C"/>
    <w:rsid w:val="003A355F"/>
    <w:rsid w:val="003A389C"/>
    <w:rsid w:val="003A3DB6"/>
    <w:rsid w:val="003A41D7"/>
    <w:rsid w:val="003A458D"/>
    <w:rsid w:val="003A46BF"/>
    <w:rsid w:val="003A55CE"/>
    <w:rsid w:val="003A5899"/>
    <w:rsid w:val="003A5925"/>
    <w:rsid w:val="003A5F0D"/>
    <w:rsid w:val="003A6001"/>
    <w:rsid w:val="003A64CD"/>
    <w:rsid w:val="003A6502"/>
    <w:rsid w:val="003A6A5D"/>
    <w:rsid w:val="003A6C1F"/>
    <w:rsid w:val="003A7101"/>
    <w:rsid w:val="003A73C9"/>
    <w:rsid w:val="003A750E"/>
    <w:rsid w:val="003B001E"/>
    <w:rsid w:val="003B0169"/>
    <w:rsid w:val="003B04F2"/>
    <w:rsid w:val="003B089E"/>
    <w:rsid w:val="003B0EC9"/>
    <w:rsid w:val="003B106C"/>
    <w:rsid w:val="003B1D30"/>
    <w:rsid w:val="003B2A86"/>
    <w:rsid w:val="003B2BA7"/>
    <w:rsid w:val="003B2D55"/>
    <w:rsid w:val="003B31BA"/>
    <w:rsid w:val="003B35AC"/>
    <w:rsid w:val="003B3B13"/>
    <w:rsid w:val="003B3B74"/>
    <w:rsid w:val="003B442C"/>
    <w:rsid w:val="003B445F"/>
    <w:rsid w:val="003B451E"/>
    <w:rsid w:val="003B48DA"/>
    <w:rsid w:val="003B4A93"/>
    <w:rsid w:val="003B4B5B"/>
    <w:rsid w:val="003B4FD3"/>
    <w:rsid w:val="003B542A"/>
    <w:rsid w:val="003B56BF"/>
    <w:rsid w:val="003B62CE"/>
    <w:rsid w:val="003B6AA0"/>
    <w:rsid w:val="003B6DB7"/>
    <w:rsid w:val="003B6F09"/>
    <w:rsid w:val="003B7140"/>
    <w:rsid w:val="003B74C3"/>
    <w:rsid w:val="003B750C"/>
    <w:rsid w:val="003B7A97"/>
    <w:rsid w:val="003B7E0F"/>
    <w:rsid w:val="003C0023"/>
    <w:rsid w:val="003C0444"/>
    <w:rsid w:val="003C07D7"/>
    <w:rsid w:val="003C080B"/>
    <w:rsid w:val="003C0F75"/>
    <w:rsid w:val="003C158F"/>
    <w:rsid w:val="003C1A21"/>
    <w:rsid w:val="003C1ACA"/>
    <w:rsid w:val="003C1B24"/>
    <w:rsid w:val="003C1BD0"/>
    <w:rsid w:val="003C1C7B"/>
    <w:rsid w:val="003C1E70"/>
    <w:rsid w:val="003C23BA"/>
    <w:rsid w:val="003C248C"/>
    <w:rsid w:val="003C27CC"/>
    <w:rsid w:val="003C2A07"/>
    <w:rsid w:val="003C2FEB"/>
    <w:rsid w:val="003C36E1"/>
    <w:rsid w:val="003C3C43"/>
    <w:rsid w:val="003C3F95"/>
    <w:rsid w:val="003C41D6"/>
    <w:rsid w:val="003C494B"/>
    <w:rsid w:val="003C4A32"/>
    <w:rsid w:val="003C4A5A"/>
    <w:rsid w:val="003C563D"/>
    <w:rsid w:val="003C6141"/>
    <w:rsid w:val="003C6773"/>
    <w:rsid w:val="003C68AA"/>
    <w:rsid w:val="003C6C7C"/>
    <w:rsid w:val="003C7DE7"/>
    <w:rsid w:val="003D012E"/>
    <w:rsid w:val="003D02FC"/>
    <w:rsid w:val="003D0B46"/>
    <w:rsid w:val="003D0DD6"/>
    <w:rsid w:val="003D116B"/>
    <w:rsid w:val="003D1B5C"/>
    <w:rsid w:val="003D21B5"/>
    <w:rsid w:val="003D21F9"/>
    <w:rsid w:val="003D2792"/>
    <w:rsid w:val="003D27FA"/>
    <w:rsid w:val="003D2AA4"/>
    <w:rsid w:val="003D2AE0"/>
    <w:rsid w:val="003D2BDA"/>
    <w:rsid w:val="003D3058"/>
    <w:rsid w:val="003D3870"/>
    <w:rsid w:val="003D387F"/>
    <w:rsid w:val="003D391D"/>
    <w:rsid w:val="003D42AA"/>
    <w:rsid w:val="003D496A"/>
    <w:rsid w:val="003D4E40"/>
    <w:rsid w:val="003D52FE"/>
    <w:rsid w:val="003D58C2"/>
    <w:rsid w:val="003D599E"/>
    <w:rsid w:val="003D59A6"/>
    <w:rsid w:val="003D5D16"/>
    <w:rsid w:val="003D5FF8"/>
    <w:rsid w:val="003D69B7"/>
    <w:rsid w:val="003D73F8"/>
    <w:rsid w:val="003E011B"/>
    <w:rsid w:val="003E081A"/>
    <w:rsid w:val="003E0D3B"/>
    <w:rsid w:val="003E1160"/>
    <w:rsid w:val="003E1385"/>
    <w:rsid w:val="003E176C"/>
    <w:rsid w:val="003E185F"/>
    <w:rsid w:val="003E19AB"/>
    <w:rsid w:val="003E1A96"/>
    <w:rsid w:val="003E1E3B"/>
    <w:rsid w:val="003E2582"/>
    <w:rsid w:val="003E266E"/>
    <w:rsid w:val="003E2735"/>
    <w:rsid w:val="003E2853"/>
    <w:rsid w:val="003E2AE0"/>
    <w:rsid w:val="003E2E46"/>
    <w:rsid w:val="003E3121"/>
    <w:rsid w:val="003E394F"/>
    <w:rsid w:val="003E3971"/>
    <w:rsid w:val="003E3987"/>
    <w:rsid w:val="003E3F67"/>
    <w:rsid w:val="003E42C1"/>
    <w:rsid w:val="003E4534"/>
    <w:rsid w:val="003E4591"/>
    <w:rsid w:val="003E4773"/>
    <w:rsid w:val="003E48B9"/>
    <w:rsid w:val="003E498C"/>
    <w:rsid w:val="003E4A4F"/>
    <w:rsid w:val="003E553F"/>
    <w:rsid w:val="003E5797"/>
    <w:rsid w:val="003E5ADF"/>
    <w:rsid w:val="003E5B9E"/>
    <w:rsid w:val="003E5CB7"/>
    <w:rsid w:val="003E5E33"/>
    <w:rsid w:val="003E610E"/>
    <w:rsid w:val="003E615C"/>
    <w:rsid w:val="003E63F1"/>
    <w:rsid w:val="003E693D"/>
    <w:rsid w:val="003E6B59"/>
    <w:rsid w:val="003E6D3F"/>
    <w:rsid w:val="003E7142"/>
    <w:rsid w:val="003E79E0"/>
    <w:rsid w:val="003E7F9E"/>
    <w:rsid w:val="003F0082"/>
    <w:rsid w:val="003F0543"/>
    <w:rsid w:val="003F0CA4"/>
    <w:rsid w:val="003F1748"/>
    <w:rsid w:val="003F189A"/>
    <w:rsid w:val="003F1B60"/>
    <w:rsid w:val="003F1DD0"/>
    <w:rsid w:val="003F1F40"/>
    <w:rsid w:val="003F2389"/>
    <w:rsid w:val="003F278B"/>
    <w:rsid w:val="003F2910"/>
    <w:rsid w:val="003F2B17"/>
    <w:rsid w:val="003F36BD"/>
    <w:rsid w:val="003F4556"/>
    <w:rsid w:val="003F495F"/>
    <w:rsid w:val="003F499C"/>
    <w:rsid w:val="003F5194"/>
    <w:rsid w:val="003F545F"/>
    <w:rsid w:val="003F55DE"/>
    <w:rsid w:val="003F575D"/>
    <w:rsid w:val="003F5B74"/>
    <w:rsid w:val="003F5B93"/>
    <w:rsid w:val="003F5D40"/>
    <w:rsid w:val="003F6062"/>
    <w:rsid w:val="003F6C15"/>
    <w:rsid w:val="003F6CE3"/>
    <w:rsid w:val="003F760F"/>
    <w:rsid w:val="003F7FB0"/>
    <w:rsid w:val="003F7FE4"/>
    <w:rsid w:val="00400520"/>
    <w:rsid w:val="00400733"/>
    <w:rsid w:val="00400929"/>
    <w:rsid w:val="00400B87"/>
    <w:rsid w:val="00400E9F"/>
    <w:rsid w:val="004019CE"/>
    <w:rsid w:val="00401BDA"/>
    <w:rsid w:val="004021CF"/>
    <w:rsid w:val="00402494"/>
    <w:rsid w:val="00402E44"/>
    <w:rsid w:val="00402E77"/>
    <w:rsid w:val="00402F9B"/>
    <w:rsid w:val="004032EB"/>
    <w:rsid w:val="00403B3A"/>
    <w:rsid w:val="00403BE4"/>
    <w:rsid w:val="0040430E"/>
    <w:rsid w:val="00404F4D"/>
    <w:rsid w:val="0040528C"/>
    <w:rsid w:val="00405674"/>
    <w:rsid w:val="00405F2A"/>
    <w:rsid w:val="00406794"/>
    <w:rsid w:val="004069AD"/>
    <w:rsid w:val="00407A62"/>
    <w:rsid w:val="00407AF9"/>
    <w:rsid w:val="00407EE2"/>
    <w:rsid w:val="0041018D"/>
    <w:rsid w:val="00410505"/>
    <w:rsid w:val="004105AA"/>
    <w:rsid w:val="004106C4"/>
    <w:rsid w:val="00410AEB"/>
    <w:rsid w:val="00410B51"/>
    <w:rsid w:val="004113FC"/>
    <w:rsid w:val="004116FF"/>
    <w:rsid w:val="004117CC"/>
    <w:rsid w:val="00411E06"/>
    <w:rsid w:val="00411EAA"/>
    <w:rsid w:val="00411F92"/>
    <w:rsid w:val="00412389"/>
    <w:rsid w:val="0041250B"/>
    <w:rsid w:val="0041267D"/>
    <w:rsid w:val="004126F4"/>
    <w:rsid w:val="0041289C"/>
    <w:rsid w:val="004128CF"/>
    <w:rsid w:val="0041295B"/>
    <w:rsid w:val="004130FA"/>
    <w:rsid w:val="004134B0"/>
    <w:rsid w:val="004135A3"/>
    <w:rsid w:val="00413A53"/>
    <w:rsid w:val="00413B31"/>
    <w:rsid w:val="00413C98"/>
    <w:rsid w:val="00413E8B"/>
    <w:rsid w:val="0041421F"/>
    <w:rsid w:val="00414671"/>
    <w:rsid w:val="004146F4"/>
    <w:rsid w:val="0041485C"/>
    <w:rsid w:val="00414E91"/>
    <w:rsid w:val="004152CD"/>
    <w:rsid w:val="00415A2B"/>
    <w:rsid w:val="00416235"/>
    <w:rsid w:val="004162D7"/>
    <w:rsid w:val="00416682"/>
    <w:rsid w:val="004167C6"/>
    <w:rsid w:val="00416D8C"/>
    <w:rsid w:val="00416DC3"/>
    <w:rsid w:val="00417080"/>
    <w:rsid w:val="004170BD"/>
    <w:rsid w:val="0041715A"/>
    <w:rsid w:val="00417334"/>
    <w:rsid w:val="004174AB"/>
    <w:rsid w:val="004175F2"/>
    <w:rsid w:val="0041779B"/>
    <w:rsid w:val="0041793A"/>
    <w:rsid w:val="00417B5E"/>
    <w:rsid w:val="00417F99"/>
    <w:rsid w:val="00419011"/>
    <w:rsid w:val="004200BE"/>
    <w:rsid w:val="0042010C"/>
    <w:rsid w:val="004205FB"/>
    <w:rsid w:val="00420864"/>
    <w:rsid w:val="00420F99"/>
    <w:rsid w:val="00421572"/>
    <w:rsid w:val="00421668"/>
    <w:rsid w:val="00421C17"/>
    <w:rsid w:val="00421CD7"/>
    <w:rsid w:val="00421FA7"/>
    <w:rsid w:val="00421FDE"/>
    <w:rsid w:val="004222F3"/>
    <w:rsid w:val="00422484"/>
    <w:rsid w:val="0042262C"/>
    <w:rsid w:val="00422739"/>
    <w:rsid w:val="00422D5F"/>
    <w:rsid w:val="00422E7B"/>
    <w:rsid w:val="00422EB6"/>
    <w:rsid w:val="004231F6"/>
    <w:rsid w:val="00423C9C"/>
    <w:rsid w:val="004242C0"/>
    <w:rsid w:val="00424794"/>
    <w:rsid w:val="00424B0B"/>
    <w:rsid w:val="0042582E"/>
    <w:rsid w:val="00425D51"/>
    <w:rsid w:val="00425EF1"/>
    <w:rsid w:val="00426086"/>
    <w:rsid w:val="0042672E"/>
    <w:rsid w:val="0042786F"/>
    <w:rsid w:val="00427C36"/>
    <w:rsid w:val="00427CCF"/>
    <w:rsid w:val="00427E4F"/>
    <w:rsid w:val="00427ECB"/>
    <w:rsid w:val="004304AF"/>
    <w:rsid w:val="004306E3"/>
    <w:rsid w:val="00430751"/>
    <w:rsid w:val="0043110C"/>
    <w:rsid w:val="004319BB"/>
    <w:rsid w:val="004321DF"/>
    <w:rsid w:val="0043260F"/>
    <w:rsid w:val="004326D9"/>
    <w:rsid w:val="00432733"/>
    <w:rsid w:val="004328C5"/>
    <w:rsid w:val="00432C9B"/>
    <w:rsid w:val="00433087"/>
    <w:rsid w:val="004335E6"/>
    <w:rsid w:val="00433633"/>
    <w:rsid w:val="0043365C"/>
    <w:rsid w:val="00433EF7"/>
    <w:rsid w:val="00434007"/>
    <w:rsid w:val="0043468A"/>
    <w:rsid w:val="0043487E"/>
    <w:rsid w:val="004351C3"/>
    <w:rsid w:val="004353C0"/>
    <w:rsid w:val="00435A61"/>
    <w:rsid w:val="00435BAD"/>
    <w:rsid w:val="0043655C"/>
    <w:rsid w:val="004365C1"/>
    <w:rsid w:val="004366A6"/>
    <w:rsid w:val="00436925"/>
    <w:rsid w:val="00436A22"/>
    <w:rsid w:val="00436FD8"/>
    <w:rsid w:val="00437078"/>
    <w:rsid w:val="0043765E"/>
    <w:rsid w:val="00437C92"/>
    <w:rsid w:val="00440894"/>
    <w:rsid w:val="00440C26"/>
    <w:rsid w:val="00440CCC"/>
    <w:rsid w:val="00441059"/>
    <w:rsid w:val="00441870"/>
    <w:rsid w:val="00441959"/>
    <w:rsid w:val="00441D0A"/>
    <w:rsid w:val="00441DF0"/>
    <w:rsid w:val="00442016"/>
    <w:rsid w:val="00442159"/>
    <w:rsid w:val="0044241A"/>
    <w:rsid w:val="00442455"/>
    <w:rsid w:val="00442506"/>
    <w:rsid w:val="00442B91"/>
    <w:rsid w:val="00442FEB"/>
    <w:rsid w:val="00443264"/>
    <w:rsid w:val="0044335F"/>
    <w:rsid w:val="0044387A"/>
    <w:rsid w:val="00443A2F"/>
    <w:rsid w:val="00443DFF"/>
    <w:rsid w:val="00443ECD"/>
    <w:rsid w:val="004446BF"/>
    <w:rsid w:val="00444D54"/>
    <w:rsid w:val="00444DB4"/>
    <w:rsid w:val="00445187"/>
    <w:rsid w:val="004455A9"/>
    <w:rsid w:val="00445A30"/>
    <w:rsid w:val="00445EA6"/>
    <w:rsid w:val="00446382"/>
    <w:rsid w:val="004464E9"/>
    <w:rsid w:val="0044654B"/>
    <w:rsid w:val="004466C1"/>
    <w:rsid w:val="0044692A"/>
    <w:rsid w:val="004469BC"/>
    <w:rsid w:val="00447485"/>
    <w:rsid w:val="004474A9"/>
    <w:rsid w:val="0044750B"/>
    <w:rsid w:val="0044775B"/>
    <w:rsid w:val="00447C0B"/>
    <w:rsid w:val="00447CD9"/>
    <w:rsid w:val="00450F83"/>
    <w:rsid w:val="0045100B"/>
    <w:rsid w:val="00451082"/>
    <w:rsid w:val="00451258"/>
    <w:rsid w:val="00451304"/>
    <w:rsid w:val="0045151C"/>
    <w:rsid w:val="00451667"/>
    <w:rsid w:val="004518C0"/>
    <w:rsid w:val="0045197C"/>
    <w:rsid w:val="00451BA6"/>
    <w:rsid w:val="00451DD8"/>
    <w:rsid w:val="004520EC"/>
    <w:rsid w:val="0045214C"/>
    <w:rsid w:val="0045216F"/>
    <w:rsid w:val="004521DA"/>
    <w:rsid w:val="00452451"/>
    <w:rsid w:val="004524D8"/>
    <w:rsid w:val="004529FD"/>
    <w:rsid w:val="00453810"/>
    <w:rsid w:val="0045443A"/>
    <w:rsid w:val="0045475A"/>
    <w:rsid w:val="004549D1"/>
    <w:rsid w:val="00454A2F"/>
    <w:rsid w:val="00454C84"/>
    <w:rsid w:val="004551A8"/>
    <w:rsid w:val="00455226"/>
    <w:rsid w:val="004558B2"/>
    <w:rsid w:val="00455C5E"/>
    <w:rsid w:val="00455C8F"/>
    <w:rsid w:val="00455E63"/>
    <w:rsid w:val="004565C8"/>
    <w:rsid w:val="0045661F"/>
    <w:rsid w:val="00456A17"/>
    <w:rsid w:val="00457079"/>
    <w:rsid w:val="0045770A"/>
    <w:rsid w:val="00457848"/>
    <w:rsid w:val="00457B92"/>
    <w:rsid w:val="004612A9"/>
    <w:rsid w:val="004617FD"/>
    <w:rsid w:val="00461C36"/>
    <w:rsid w:val="00461FC6"/>
    <w:rsid w:val="00462389"/>
    <w:rsid w:val="004628DC"/>
    <w:rsid w:val="00462BA0"/>
    <w:rsid w:val="00463930"/>
    <w:rsid w:val="00463C38"/>
    <w:rsid w:val="00463D21"/>
    <w:rsid w:val="00463E86"/>
    <w:rsid w:val="0046432C"/>
    <w:rsid w:val="00464540"/>
    <w:rsid w:val="00464908"/>
    <w:rsid w:val="00464B6D"/>
    <w:rsid w:val="00464CEC"/>
    <w:rsid w:val="0046520D"/>
    <w:rsid w:val="00465C75"/>
    <w:rsid w:val="004664EA"/>
    <w:rsid w:val="004679F2"/>
    <w:rsid w:val="00467A7A"/>
    <w:rsid w:val="00467C24"/>
    <w:rsid w:val="00467E32"/>
    <w:rsid w:val="00470148"/>
    <w:rsid w:val="004702FD"/>
    <w:rsid w:val="00470426"/>
    <w:rsid w:val="004704DB"/>
    <w:rsid w:val="00471634"/>
    <w:rsid w:val="00471AEF"/>
    <w:rsid w:val="00472157"/>
    <w:rsid w:val="0047227C"/>
    <w:rsid w:val="004722C9"/>
    <w:rsid w:val="00472430"/>
    <w:rsid w:val="00472DF8"/>
    <w:rsid w:val="00472E7B"/>
    <w:rsid w:val="00472FFD"/>
    <w:rsid w:val="004734F5"/>
    <w:rsid w:val="00473669"/>
    <w:rsid w:val="0047372D"/>
    <w:rsid w:val="00473739"/>
    <w:rsid w:val="00473890"/>
    <w:rsid w:val="004742FA"/>
    <w:rsid w:val="00474352"/>
    <w:rsid w:val="00474811"/>
    <w:rsid w:val="004748BA"/>
    <w:rsid w:val="00475224"/>
    <w:rsid w:val="0047572F"/>
    <w:rsid w:val="004759C9"/>
    <w:rsid w:val="00476478"/>
    <w:rsid w:val="0047669B"/>
    <w:rsid w:val="0047675D"/>
    <w:rsid w:val="00476C61"/>
    <w:rsid w:val="004771C3"/>
    <w:rsid w:val="00477350"/>
    <w:rsid w:val="00477851"/>
    <w:rsid w:val="004778EA"/>
    <w:rsid w:val="00477978"/>
    <w:rsid w:val="004779EC"/>
    <w:rsid w:val="004779F8"/>
    <w:rsid w:val="00477A6E"/>
    <w:rsid w:val="00477B36"/>
    <w:rsid w:val="004800E0"/>
    <w:rsid w:val="0048038C"/>
    <w:rsid w:val="00480451"/>
    <w:rsid w:val="00480FDC"/>
    <w:rsid w:val="004813DB"/>
    <w:rsid w:val="004815E1"/>
    <w:rsid w:val="004816F7"/>
    <w:rsid w:val="00481ACE"/>
    <w:rsid w:val="00481BFB"/>
    <w:rsid w:val="00482A91"/>
    <w:rsid w:val="00482F37"/>
    <w:rsid w:val="0048311A"/>
    <w:rsid w:val="004833DE"/>
    <w:rsid w:val="00483ADF"/>
    <w:rsid w:val="00483C57"/>
    <w:rsid w:val="00484B96"/>
    <w:rsid w:val="00485387"/>
    <w:rsid w:val="00485CFB"/>
    <w:rsid w:val="00485F73"/>
    <w:rsid w:val="00486004"/>
    <w:rsid w:val="00486A29"/>
    <w:rsid w:val="00486C7C"/>
    <w:rsid w:val="00487816"/>
    <w:rsid w:val="00487D27"/>
    <w:rsid w:val="00490281"/>
    <w:rsid w:val="0049034F"/>
    <w:rsid w:val="004903DC"/>
    <w:rsid w:val="0049094C"/>
    <w:rsid w:val="00490DF0"/>
    <w:rsid w:val="00490FF4"/>
    <w:rsid w:val="00491B6B"/>
    <w:rsid w:val="0049293F"/>
    <w:rsid w:val="00493431"/>
    <w:rsid w:val="0049494C"/>
    <w:rsid w:val="00494DE8"/>
    <w:rsid w:val="00494E74"/>
    <w:rsid w:val="00494F11"/>
    <w:rsid w:val="00495388"/>
    <w:rsid w:val="0049579C"/>
    <w:rsid w:val="00495E37"/>
    <w:rsid w:val="00496147"/>
    <w:rsid w:val="00496349"/>
    <w:rsid w:val="0049653D"/>
    <w:rsid w:val="0049656F"/>
    <w:rsid w:val="004968EB"/>
    <w:rsid w:val="00496A63"/>
    <w:rsid w:val="00496DD9"/>
    <w:rsid w:val="00496F17"/>
    <w:rsid w:val="00497D7F"/>
    <w:rsid w:val="004A0013"/>
    <w:rsid w:val="004A00A4"/>
    <w:rsid w:val="004A0461"/>
    <w:rsid w:val="004A086B"/>
    <w:rsid w:val="004A0ACC"/>
    <w:rsid w:val="004A0CB8"/>
    <w:rsid w:val="004A0DA1"/>
    <w:rsid w:val="004A1127"/>
    <w:rsid w:val="004A1491"/>
    <w:rsid w:val="004A17A6"/>
    <w:rsid w:val="004A2777"/>
    <w:rsid w:val="004A28F3"/>
    <w:rsid w:val="004A2CF8"/>
    <w:rsid w:val="004A2D81"/>
    <w:rsid w:val="004A30F6"/>
    <w:rsid w:val="004A33DB"/>
    <w:rsid w:val="004A367D"/>
    <w:rsid w:val="004A37EF"/>
    <w:rsid w:val="004A3C62"/>
    <w:rsid w:val="004A422C"/>
    <w:rsid w:val="004A429F"/>
    <w:rsid w:val="004A500D"/>
    <w:rsid w:val="004A65DD"/>
    <w:rsid w:val="004A6671"/>
    <w:rsid w:val="004A6AA9"/>
    <w:rsid w:val="004A6C60"/>
    <w:rsid w:val="004A6C90"/>
    <w:rsid w:val="004A6EBC"/>
    <w:rsid w:val="004A6EE9"/>
    <w:rsid w:val="004A6F9D"/>
    <w:rsid w:val="004A713C"/>
    <w:rsid w:val="004A7262"/>
    <w:rsid w:val="004A79E8"/>
    <w:rsid w:val="004A79FE"/>
    <w:rsid w:val="004A7B0E"/>
    <w:rsid w:val="004B0F32"/>
    <w:rsid w:val="004B11F4"/>
    <w:rsid w:val="004B12E6"/>
    <w:rsid w:val="004B1A50"/>
    <w:rsid w:val="004B1D9C"/>
    <w:rsid w:val="004B2055"/>
    <w:rsid w:val="004B2292"/>
    <w:rsid w:val="004B23A6"/>
    <w:rsid w:val="004B2705"/>
    <w:rsid w:val="004B2FE7"/>
    <w:rsid w:val="004B3401"/>
    <w:rsid w:val="004B34B1"/>
    <w:rsid w:val="004B3D8E"/>
    <w:rsid w:val="004B40EC"/>
    <w:rsid w:val="004B4611"/>
    <w:rsid w:val="004B4D29"/>
    <w:rsid w:val="004B4DD1"/>
    <w:rsid w:val="004B52A2"/>
    <w:rsid w:val="004B534F"/>
    <w:rsid w:val="004B58D1"/>
    <w:rsid w:val="004B5CD6"/>
    <w:rsid w:val="004B5CE9"/>
    <w:rsid w:val="004B602A"/>
    <w:rsid w:val="004B6827"/>
    <w:rsid w:val="004B6D1C"/>
    <w:rsid w:val="004B715F"/>
    <w:rsid w:val="004B7DBA"/>
    <w:rsid w:val="004B7F6B"/>
    <w:rsid w:val="004B7FEA"/>
    <w:rsid w:val="004C03CA"/>
    <w:rsid w:val="004C05DE"/>
    <w:rsid w:val="004C0BCA"/>
    <w:rsid w:val="004C15E1"/>
    <w:rsid w:val="004C1DC7"/>
    <w:rsid w:val="004C218F"/>
    <w:rsid w:val="004C245E"/>
    <w:rsid w:val="004C2467"/>
    <w:rsid w:val="004C2962"/>
    <w:rsid w:val="004C2AA4"/>
    <w:rsid w:val="004C2C09"/>
    <w:rsid w:val="004C35F0"/>
    <w:rsid w:val="004C3927"/>
    <w:rsid w:val="004C3B7A"/>
    <w:rsid w:val="004C3E39"/>
    <w:rsid w:val="004C4413"/>
    <w:rsid w:val="004C443C"/>
    <w:rsid w:val="004C4567"/>
    <w:rsid w:val="004C497D"/>
    <w:rsid w:val="004C5392"/>
    <w:rsid w:val="004C5574"/>
    <w:rsid w:val="004C5589"/>
    <w:rsid w:val="004C5EEE"/>
    <w:rsid w:val="004C6272"/>
    <w:rsid w:val="004C6444"/>
    <w:rsid w:val="004C65D3"/>
    <w:rsid w:val="004C7452"/>
    <w:rsid w:val="004C767F"/>
    <w:rsid w:val="004C7FB7"/>
    <w:rsid w:val="004D0059"/>
    <w:rsid w:val="004D0964"/>
    <w:rsid w:val="004D09D3"/>
    <w:rsid w:val="004D09EA"/>
    <w:rsid w:val="004D0C37"/>
    <w:rsid w:val="004D15C0"/>
    <w:rsid w:val="004D1DC9"/>
    <w:rsid w:val="004D1F18"/>
    <w:rsid w:val="004D2136"/>
    <w:rsid w:val="004D2206"/>
    <w:rsid w:val="004D30FC"/>
    <w:rsid w:val="004D32BB"/>
    <w:rsid w:val="004D3791"/>
    <w:rsid w:val="004D3981"/>
    <w:rsid w:val="004D3BBC"/>
    <w:rsid w:val="004D4397"/>
    <w:rsid w:val="004D489E"/>
    <w:rsid w:val="004D4B0C"/>
    <w:rsid w:val="004D4C13"/>
    <w:rsid w:val="004D575C"/>
    <w:rsid w:val="004D57E8"/>
    <w:rsid w:val="004D5C5E"/>
    <w:rsid w:val="004D5F39"/>
    <w:rsid w:val="004D6A3A"/>
    <w:rsid w:val="004D749D"/>
    <w:rsid w:val="004D781D"/>
    <w:rsid w:val="004D7884"/>
    <w:rsid w:val="004D78C4"/>
    <w:rsid w:val="004D7F50"/>
    <w:rsid w:val="004E00F8"/>
    <w:rsid w:val="004E0265"/>
    <w:rsid w:val="004E031E"/>
    <w:rsid w:val="004E052D"/>
    <w:rsid w:val="004E0A3D"/>
    <w:rsid w:val="004E0C1F"/>
    <w:rsid w:val="004E0C29"/>
    <w:rsid w:val="004E1388"/>
    <w:rsid w:val="004E1441"/>
    <w:rsid w:val="004E189A"/>
    <w:rsid w:val="004E1D1F"/>
    <w:rsid w:val="004E1ECE"/>
    <w:rsid w:val="004E1F31"/>
    <w:rsid w:val="004E274B"/>
    <w:rsid w:val="004E2D3E"/>
    <w:rsid w:val="004E2EB0"/>
    <w:rsid w:val="004E3209"/>
    <w:rsid w:val="004E4013"/>
    <w:rsid w:val="004E416A"/>
    <w:rsid w:val="004E42E9"/>
    <w:rsid w:val="004E493A"/>
    <w:rsid w:val="004E498F"/>
    <w:rsid w:val="004E4A7F"/>
    <w:rsid w:val="004E4CC9"/>
    <w:rsid w:val="004E4D04"/>
    <w:rsid w:val="004E5631"/>
    <w:rsid w:val="004E5947"/>
    <w:rsid w:val="004E5BFC"/>
    <w:rsid w:val="004E5D27"/>
    <w:rsid w:val="004E64A5"/>
    <w:rsid w:val="004E6D4A"/>
    <w:rsid w:val="004E6FFE"/>
    <w:rsid w:val="004E7569"/>
    <w:rsid w:val="004E7D62"/>
    <w:rsid w:val="004E7F01"/>
    <w:rsid w:val="004F0914"/>
    <w:rsid w:val="004F0FDB"/>
    <w:rsid w:val="004F1745"/>
    <w:rsid w:val="004F189D"/>
    <w:rsid w:val="004F206B"/>
    <w:rsid w:val="004F2168"/>
    <w:rsid w:val="004F255D"/>
    <w:rsid w:val="004F2F2A"/>
    <w:rsid w:val="004F38A1"/>
    <w:rsid w:val="004F3930"/>
    <w:rsid w:val="004F3B73"/>
    <w:rsid w:val="004F4314"/>
    <w:rsid w:val="004F4320"/>
    <w:rsid w:val="004F47C5"/>
    <w:rsid w:val="004F492B"/>
    <w:rsid w:val="004F4D1C"/>
    <w:rsid w:val="004F4F9D"/>
    <w:rsid w:val="004F50A6"/>
    <w:rsid w:val="004F5397"/>
    <w:rsid w:val="004F540B"/>
    <w:rsid w:val="004F592F"/>
    <w:rsid w:val="004F5CB0"/>
    <w:rsid w:val="004F5CCE"/>
    <w:rsid w:val="004F5D9D"/>
    <w:rsid w:val="004F5EB3"/>
    <w:rsid w:val="004F6145"/>
    <w:rsid w:val="004F72E8"/>
    <w:rsid w:val="004F733D"/>
    <w:rsid w:val="004F7BD9"/>
    <w:rsid w:val="00500405"/>
    <w:rsid w:val="005014A0"/>
    <w:rsid w:val="0050157F"/>
    <w:rsid w:val="005016AD"/>
    <w:rsid w:val="00501AAE"/>
    <w:rsid w:val="00501AEB"/>
    <w:rsid w:val="00502410"/>
    <w:rsid w:val="005025EA"/>
    <w:rsid w:val="00502B4A"/>
    <w:rsid w:val="00502C9A"/>
    <w:rsid w:val="00502D77"/>
    <w:rsid w:val="00502E16"/>
    <w:rsid w:val="00502F4C"/>
    <w:rsid w:val="005030B2"/>
    <w:rsid w:val="00503181"/>
    <w:rsid w:val="005033EA"/>
    <w:rsid w:val="0050345E"/>
    <w:rsid w:val="005036F6"/>
    <w:rsid w:val="005037A8"/>
    <w:rsid w:val="00503900"/>
    <w:rsid w:val="00503A7D"/>
    <w:rsid w:val="00503AC3"/>
    <w:rsid w:val="00503E9C"/>
    <w:rsid w:val="0050403B"/>
    <w:rsid w:val="00504773"/>
    <w:rsid w:val="00504A60"/>
    <w:rsid w:val="00504E47"/>
    <w:rsid w:val="00504FC6"/>
    <w:rsid w:val="0050554F"/>
    <w:rsid w:val="00505598"/>
    <w:rsid w:val="00506147"/>
    <w:rsid w:val="005062B2"/>
    <w:rsid w:val="00506500"/>
    <w:rsid w:val="0050688F"/>
    <w:rsid w:val="00506DDE"/>
    <w:rsid w:val="0050755C"/>
    <w:rsid w:val="0050765A"/>
    <w:rsid w:val="005077B1"/>
    <w:rsid w:val="005078B7"/>
    <w:rsid w:val="005078F5"/>
    <w:rsid w:val="00507965"/>
    <w:rsid w:val="005100DC"/>
    <w:rsid w:val="00510B8B"/>
    <w:rsid w:val="00510CBF"/>
    <w:rsid w:val="00510FEA"/>
    <w:rsid w:val="00511033"/>
    <w:rsid w:val="0051110F"/>
    <w:rsid w:val="00511E75"/>
    <w:rsid w:val="005120CA"/>
    <w:rsid w:val="0051241F"/>
    <w:rsid w:val="0051277A"/>
    <w:rsid w:val="005128B6"/>
    <w:rsid w:val="005135C6"/>
    <w:rsid w:val="00513936"/>
    <w:rsid w:val="005139F8"/>
    <w:rsid w:val="00514409"/>
    <w:rsid w:val="00514426"/>
    <w:rsid w:val="005147E4"/>
    <w:rsid w:val="00514B5C"/>
    <w:rsid w:val="00514FD2"/>
    <w:rsid w:val="005151A7"/>
    <w:rsid w:val="005153F8"/>
    <w:rsid w:val="00515C74"/>
    <w:rsid w:val="00515E95"/>
    <w:rsid w:val="00516076"/>
    <w:rsid w:val="0051625B"/>
    <w:rsid w:val="00516298"/>
    <w:rsid w:val="00516D53"/>
    <w:rsid w:val="005176AA"/>
    <w:rsid w:val="00517B6D"/>
    <w:rsid w:val="0052029F"/>
    <w:rsid w:val="0052044B"/>
    <w:rsid w:val="00520FC0"/>
    <w:rsid w:val="00521172"/>
    <w:rsid w:val="0052143E"/>
    <w:rsid w:val="0052145A"/>
    <w:rsid w:val="0052146E"/>
    <w:rsid w:val="00521560"/>
    <w:rsid w:val="005222A6"/>
    <w:rsid w:val="00522315"/>
    <w:rsid w:val="005223C5"/>
    <w:rsid w:val="00522BAE"/>
    <w:rsid w:val="00523538"/>
    <w:rsid w:val="00523831"/>
    <w:rsid w:val="00523B01"/>
    <w:rsid w:val="00523C94"/>
    <w:rsid w:val="00523DBF"/>
    <w:rsid w:val="005242FB"/>
    <w:rsid w:val="005244DE"/>
    <w:rsid w:val="00524BA2"/>
    <w:rsid w:val="00525209"/>
    <w:rsid w:val="00525271"/>
    <w:rsid w:val="0052529C"/>
    <w:rsid w:val="0052594E"/>
    <w:rsid w:val="00525C11"/>
    <w:rsid w:val="00525DCA"/>
    <w:rsid w:val="0052653E"/>
    <w:rsid w:val="00526CBA"/>
    <w:rsid w:val="00526FBA"/>
    <w:rsid w:val="0052709C"/>
    <w:rsid w:val="0052738E"/>
    <w:rsid w:val="00527503"/>
    <w:rsid w:val="00527831"/>
    <w:rsid w:val="00527D22"/>
    <w:rsid w:val="005309B3"/>
    <w:rsid w:val="00530D69"/>
    <w:rsid w:val="0053118E"/>
    <w:rsid w:val="005314A0"/>
    <w:rsid w:val="00531BEB"/>
    <w:rsid w:val="00532D6C"/>
    <w:rsid w:val="0053303D"/>
    <w:rsid w:val="00533098"/>
    <w:rsid w:val="005335DA"/>
    <w:rsid w:val="00533C48"/>
    <w:rsid w:val="00534208"/>
    <w:rsid w:val="00534796"/>
    <w:rsid w:val="00534834"/>
    <w:rsid w:val="005348AF"/>
    <w:rsid w:val="00535345"/>
    <w:rsid w:val="00535901"/>
    <w:rsid w:val="00535994"/>
    <w:rsid w:val="00535C46"/>
    <w:rsid w:val="00535DCD"/>
    <w:rsid w:val="00535ED0"/>
    <w:rsid w:val="005369D8"/>
    <w:rsid w:val="00536FCE"/>
    <w:rsid w:val="0053720B"/>
    <w:rsid w:val="0053742A"/>
    <w:rsid w:val="00537E4D"/>
    <w:rsid w:val="00537F63"/>
    <w:rsid w:val="00540023"/>
    <w:rsid w:val="00540808"/>
    <w:rsid w:val="00540C92"/>
    <w:rsid w:val="00541274"/>
    <w:rsid w:val="00541679"/>
    <w:rsid w:val="005417EE"/>
    <w:rsid w:val="00541A77"/>
    <w:rsid w:val="00542AE4"/>
    <w:rsid w:val="00542C75"/>
    <w:rsid w:val="00542DE8"/>
    <w:rsid w:val="00542E5B"/>
    <w:rsid w:val="00543015"/>
    <w:rsid w:val="0054306D"/>
    <w:rsid w:val="005436C4"/>
    <w:rsid w:val="0054456E"/>
    <w:rsid w:val="00544A70"/>
    <w:rsid w:val="00544D92"/>
    <w:rsid w:val="00544F65"/>
    <w:rsid w:val="005451CC"/>
    <w:rsid w:val="00545221"/>
    <w:rsid w:val="00545283"/>
    <w:rsid w:val="00545686"/>
    <w:rsid w:val="005458E6"/>
    <w:rsid w:val="005463CC"/>
    <w:rsid w:val="005469A0"/>
    <w:rsid w:val="00546BA3"/>
    <w:rsid w:val="00547178"/>
    <w:rsid w:val="005476AA"/>
    <w:rsid w:val="0054778F"/>
    <w:rsid w:val="00547A96"/>
    <w:rsid w:val="00547BC4"/>
    <w:rsid w:val="00547D36"/>
    <w:rsid w:val="00550085"/>
    <w:rsid w:val="00550272"/>
    <w:rsid w:val="005502FA"/>
    <w:rsid w:val="005503B6"/>
    <w:rsid w:val="00550840"/>
    <w:rsid w:val="00550D0C"/>
    <w:rsid w:val="00551215"/>
    <w:rsid w:val="0055121C"/>
    <w:rsid w:val="005512B7"/>
    <w:rsid w:val="00551363"/>
    <w:rsid w:val="0055149C"/>
    <w:rsid w:val="0055156A"/>
    <w:rsid w:val="00551A81"/>
    <w:rsid w:val="00551E76"/>
    <w:rsid w:val="00552A87"/>
    <w:rsid w:val="00552E60"/>
    <w:rsid w:val="00553794"/>
    <w:rsid w:val="00553E83"/>
    <w:rsid w:val="00554614"/>
    <w:rsid w:val="00554E13"/>
    <w:rsid w:val="0055561B"/>
    <w:rsid w:val="005557A8"/>
    <w:rsid w:val="005557F9"/>
    <w:rsid w:val="00555C0C"/>
    <w:rsid w:val="005562C6"/>
    <w:rsid w:val="0055663C"/>
    <w:rsid w:val="005566D0"/>
    <w:rsid w:val="0055697C"/>
    <w:rsid w:val="005571A3"/>
    <w:rsid w:val="00557217"/>
    <w:rsid w:val="005578CE"/>
    <w:rsid w:val="00557A17"/>
    <w:rsid w:val="00560073"/>
    <w:rsid w:val="005604B6"/>
    <w:rsid w:val="00560996"/>
    <w:rsid w:val="00560CD2"/>
    <w:rsid w:val="00560CED"/>
    <w:rsid w:val="00561565"/>
    <w:rsid w:val="0056181F"/>
    <w:rsid w:val="00561977"/>
    <w:rsid w:val="00561D30"/>
    <w:rsid w:val="00562A71"/>
    <w:rsid w:val="00562B93"/>
    <w:rsid w:val="00562DC1"/>
    <w:rsid w:val="00562E7C"/>
    <w:rsid w:val="0056306D"/>
    <w:rsid w:val="005631C0"/>
    <w:rsid w:val="005633B2"/>
    <w:rsid w:val="00563951"/>
    <w:rsid w:val="00563BB0"/>
    <w:rsid w:val="00563BEB"/>
    <w:rsid w:val="00563F48"/>
    <w:rsid w:val="0056410B"/>
    <w:rsid w:val="0056416F"/>
    <w:rsid w:val="005641F3"/>
    <w:rsid w:val="005647CA"/>
    <w:rsid w:val="0056493D"/>
    <w:rsid w:val="00564BDD"/>
    <w:rsid w:val="00564D92"/>
    <w:rsid w:val="00564EE9"/>
    <w:rsid w:val="005650C9"/>
    <w:rsid w:val="005656B1"/>
    <w:rsid w:val="00565864"/>
    <w:rsid w:val="0056639C"/>
    <w:rsid w:val="00566B15"/>
    <w:rsid w:val="00566F28"/>
    <w:rsid w:val="005670BD"/>
    <w:rsid w:val="00567AE5"/>
    <w:rsid w:val="00567B04"/>
    <w:rsid w:val="00567B38"/>
    <w:rsid w:val="00567E5E"/>
    <w:rsid w:val="005705DD"/>
    <w:rsid w:val="005706A7"/>
    <w:rsid w:val="00570726"/>
    <w:rsid w:val="00570746"/>
    <w:rsid w:val="005708F3"/>
    <w:rsid w:val="005710EE"/>
    <w:rsid w:val="00572979"/>
    <w:rsid w:val="00573348"/>
    <w:rsid w:val="0057337E"/>
    <w:rsid w:val="00573DF6"/>
    <w:rsid w:val="00573E48"/>
    <w:rsid w:val="00573EF0"/>
    <w:rsid w:val="005741B2"/>
    <w:rsid w:val="00574256"/>
    <w:rsid w:val="005742CD"/>
    <w:rsid w:val="005744BA"/>
    <w:rsid w:val="005744CB"/>
    <w:rsid w:val="005746F7"/>
    <w:rsid w:val="005747B8"/>
    <w:rsid w:val="005748E4"/>
    <w:rsid w:val="00574A31"/>
    <w:rsid w:val="00574B61"/>
    <w:rsid w:val="00574C79"/>
    <w:rsid w:val="005752B0"/>
    <w:rsid w:val="0057558C"/>
    <w:rsid w:val="005756FA"/>
    <w:rsid w:val="00575764"/>
    <w:rsid w:val="00575E9D"/>
    <w:rsid w:val="00575EBF"/>
    <w:rsid w:val="005761EE"/>
    <w:rsid w:val="0057625F"/>
    <w:rsid w:val="00576532"/>
    <w:rsid w:val="00576668"/>
    <w:rsid w:val="00576A9A"/>
    <w:rsid w:val="00576B6D"/>
    <w:rsid w:val="00576D7E"/>
    <w:rsid w:val="00576D95"/>
    <w:rsid w:val="00577016"/>
    <w:rsid w:val="0057706D"/>
    <w:rsid w:val="0057716D"/>
    <w:rsid w:val="00577842"/>
    <w:rsid w:val="00577C16"/>
    <w:rsid w:val="0058000F"/>
    <w:rsid w:val="005800E0"/>
    <w:rsid w:val="00580986"/>
    <w:rsid w:val="00580E36"/>
    <w:rsid w:val="00581744"/>
    <w:rsid w:val="00581911"/>
    <w:rsid w:val="00581FFD"/>
    <w:rsid w:val="0058215C"/>
    <w:rsid w:val="0058228C"/>
    <w:rsid w:val="0058230C"/>
    <w:rsid w:val="00582EAB"/>
    <w:rsid w:val="00582F00"/>
    <w:rsid w:val="00582F48"/>
    <w:rsid w:val="00583066"/>
    <w:rsid w:val="0058388B"/>
    <w:rsid w:val="0058424D"/>
    <w:rsid w:val="0058436D"/>
    <w:rsid w:val="0058461C"/>
    <w:rsid w:val="00584857"/>
    <w:rsid w:val="00584C22"/>
    <w:rsid w:val="00585011"/>
    <w:rsid w:val="005856ED"/>
    <w:rsid w:val="00585B7B"/>
    <w:rsid w:val="00585CA0"/>
    <w:rsid w:val="00585F4B"/>
    <w:rsid w:val="0058681C"/>
    <w:rsid w:val="00586C6B"/>
    <w:rsid w:val="00586D2C"/>
    <w:rsid w:val="00587CDB"/>
    <w:rsid w:val="0059021A"/>
    <w:rsid w:val="00590C69"/>
    <w:rsid w:val="00590D3C"/>
    <w:rsid w:val="00590FF9"/>
    <w:rsid w:val="005913AC"/>
    <w:rsid w:val="0059142B"/>
    <w:rsid w:val="005914D0"/>
    <w:rsid w:val="00591603"/>
    <w:rsid w:val="005916B0"/>
    <w:rsid w:val="00591A0E"/>
    <w:rsid w:val="0059297B"/>
    <w:rsid w:val="0059299F"/>
    <w:rsid w:val="00592A3F"/>
    <w:rsid w:val="00592A83"/>
    <w:rsid w:val="00592AA6"/>
    <w:rsid w:val="00592C9E"/>
    <w:rsid w:val="00593AB9"/>
    <w:rsid w:val="00594137"/>
    <w:rsid w:val="0059463C"/>
    <w:rsid w:val="005949F9"/>
    <w:rsid w:val="00594CDC"/>
    <w:rsid w:val="0059501A"/>
    <w:rsid w:val="00595342"/>
    <w:rsid w:val="00595483"/>
    <w:rsid w:val="00596461"/>
    <w:rsid w:val="00596E9A"/>
    <w:rsid w:val="00596FB0"/>
    <w:rsid w:val="00597313"/>
    <w:rsid w:val="0059752E"/>
    <w:rsid w:val="00597DC4"/>
    <w:rsid w:val="005A0030"/>
    <w:rsid w:val="005A01CF"/>
    <w:rsid w:val="005A069D"/>
    <w:rsid w:val="005A0CA1"/>
    <w:rsid w:val="005A0EB1"/>
    <w:rsid w:val="005A11E2"/>
    <w:rsid w:val="005A123E"/>
    <w:rsid w:val="005A137B"/>
    <w:rsid w:val="005A172C"/>
    <w:rsid w:val="005A1840"/>
    <w:rsid w:val="005A1A5C"/>
    <w:rsid w:val="005A3618"/>
    <w:rsid w:val="005A38CB"/>
    <w:rsid w:val="005A3C74"/>
    <w:rsid w:val="005A3D4B"/>
    <w:rsid w:val="005A3DA1"/>
    <w:rsid w:val="005A4656"/>
    <w:rsid w:val="005A4887"/>
    <w:rsid w:val="005A4C3E"/>
    <w:rsid w:val="005A4D18"/>
    <w:rsid w:val="005A50D3"/>
    <w:rsid w:val="005A51FD"/>
    <w:rsid w:val="005A529B"/>
    <w:rsid w:val="005A53B7"/>
    <w:rsid w:val="005A5858"/>
    <w:rsid w:val="005A5909"/>
    <w:rsid w:val="005A5E7F"/>
    <w:rsid w:val="005A66FA"/>
    <w:rsid w:val="005A6967"/>
    <w:rsid w:val="005A6BAD"/>
    <w:rsid w:val="005A6CD1"/>
    <w:rsid w:val="005A6E4E"/>
    <w:rsid w:val="005A6F3A"/>
    <w:rsid w:val="005A70DC"/>
    <w:rsid w:val="005A7538"/>
    <w:rsid w:val="005B009E"/>
    <w:rsid w:val="005B0200"/>
    <w:rsid w:val="005B079D"/>
    <w:rsid w:val="005B0A5F"/>
    <w:rsid w:val="005B0AF5"/>
    <w:rsid w:val="005B0FC6"/>
    <w:rsid w:val="005B0FF6"/>
    <w:rsid w:val="005B272B"/>
    <w:rsid w:val="005B2A96"/>
    <w:rsid w:val="005B3C39"/>
    <w:rsid w:val="005B405E"/>
    <w:rsid w:val="005B470E"/>
    <w:rsid w:val="005B47BD"/>
    <w:rsid w:val="005B481A"/>
    <w:rsid w:val="005B48BC"/>
    <w:rsid w:val="005B48C2"/>
    <w:rsid w:val="005B4BC6"/>
    <w:rsid w:val="005B5470"/>
    <w:rsid w:val="005B5911"/>
    <w:rsid w:val="005B5C48"/>
    <w:rsid w:val="005B5D47"/>
    <w:rsid w:val="005B5F31"/>
    <w:rsid w:val="005B5F3A"/>
    <w:rsid w:val="005B7350"/>
    <w:rsid w:val="005B7376"/>
    <w:rsid w:val="005B76CE"/>
    <w:rsid w:val="005B7845"/>
    <w:rsid w:val="005B7C05"/>
    <w:rsid w:val="005B7CAD"/>
    <w:rsid w:val="005B7EBC"/>
    <w:rsid w:val="005B7F4F"/>
    <w:rsid w:val="005B7FE4"/>
    <w:rsid w:val="005C0980"/>
    <w:rsid w:val="005C0F8D"/>
    <w:rsid w:val="005C0F92"/>
    <w:rsid w:val="005C0F96"/>
    <w:rsid w:val="005C10BA"/>
    <w:rsid w:val="005C114C"/>
    <w:rsid w:val="005C12ED"/>
    <w:rsid w:val="005C18B8"/>
    <w:rsid w:val="005C1919"/>
    <w:rsid w:val="005C2307"/>
    <w:rsid w:val="005C235D"/>
    <w:rsid w:val="005C23C2"/>
    <w:rsid w:val="005C284A"/>
    <w:rsid w:val="005C2B0C"/>
    <w:rsid w:val="005C30E2"/>
    <w:rsid w:val="005C3422"/>
    <w:rsid w:val="005C3ACB"/>
    <w:rsid w:val="005C3AD7"/>
    <w:rsid w:val="005C3B98"/>
    <w:rsid w:val="005C4027"/>
    <w:rsid w:val="005C41DD"/>
    <w:rsid w:val="005C4A32"/>
    <w:rsid w:val="005C4EDF"/>
    <w:rsid w:val="005C53F2"/>
    <w:rsid w:val="005C5E41"/>
    <w:rsid w:val="005C603A"/>
    <w:rsid w:val="005C61CE"/>
    <w:rsid w:val="005C71F2"/>
    <w:rsid w:val="005C725A"/>
    <w:rsid w:val="005C739E"/>
    <w:rsid w:val="005C7738"/>
    <w:rsid w:val="005C7A8D"/>
    <w:rsid w:val="005C7D72"/>
    <w:rsid w:val="005D002A"/>
    <w:rsid w:val="005D0241"/>
    <w:rsid w:val="005D06CF"/>
    <w:rsid w:val="005D0AAE"/>
    <w:rsid w:val="005D0F31"/>
    <w:rsid w:val="005D0F6C"/>
    <w:rsid w:val="005D0F96"/>
    <w:rsid w:val="005D16BC"/>
    <w:rsid w:val="005D16E3"/>
    <w:rsid w:val="005D1B8A"/>
    <w:rsid w:val="005D1E4C"/>
    <w:rsid w:val="005D1E87"/>
    <w:rsid w:val="005D1EA9"/>
    <w:rsid w:val="005D2111"/>
    <w:rsid w:val="005D2CD0"/>
    <w:rsid w:val="005D2FFD"/>
    <w:rsid w:val="005D308A"/>
    <w:rsid w:val="005D32E2"/>
    <w:rsid w:val="005D3319"/>
    <w:rsid w:val="005D3633"/>
    <w:rsid w:val="005D391A"/>
    <w:rsid w:val="005D3C4B"/>
    <w:rsid w:val="005D3E80"/>
    <w:rsid w:val="005D4310"/>
    <w:rsid w:val="005D4FCA"/>
    <w:rsid w:val="005D4FFA"/>
    <w:rsid w:val="005D54E4"/>
    <w:rsid w:val="005D552B"/>
    <w:rsid w:val="005D5576"/>
    <w:rsid w:val="005D5745"/>
    <w:rsid w:val="005D594D"/>
    <w:rsid w:val="005D5A9D"/>
    <w:rsid w:val="005D5C8B"/>
    <w:rsid w:val="005D5CF8"/>
    <w:rsid w:val="005D5E42"/>
    <w:rsid w:val="005D6432"/>
    <w:rsid w:val="005D654A"/>
    <w:rsid w:val="005D6FB2"/>
    <w:rsid w:val="005D71FC"/>
    <w:rsid w:val="005D74DB"/>
    <w:rsid w:val="005D770C"/>
    <w:rsid w:val="005D7729"/>
    <w:rsid w:val="005D7FB8"/>
    <w:rsid w:val="005E02AF"/>
    <w:rsid w:val="005E0592"/>
    <w:rsid w:val="005E05D3"/>
    <w:rsid w:val="005E0836"/>
    <w:rsid w:val="005E097C"/>
    <w:rsid w:val="005E0EB2"/>
    <w:rsid w:val="005E0F5B"/>
    <w:rsid w:val="005E140F"/>
    <w:rsid w:val="005E158F"/>
    <w:rsid w:val="005E1C33"/>
    <w:rsid w:val="005E2403"/>
    <w:rsid w:val="005E2564"/>
    <w:rsid w:val="005E26C0"/>
    <w:rsid w:val="005E30D2"/>
    <w:rsid w:val="005E3187"/>
    <w:rsid w:val="005E33D3"/>
    <w:rsid w:val="005E383A"/>
    <w:rsid w:val="005E3A43"/>
    <w:rsid w:val="005E3A49"/>
    <w:rsid w:val="005E4935"/>
    <w:rsid w:val="005E51F6"/>
    <w:rsid w:val="005E557F"/>
    <w:rsid w:val="005E5774"/>
    <w:rsid w:val="005E591D"/>
    <w:rsid w:val="005E5CE7"/>
    <w:rsid w:val="005E5CF2"/>
    <w:rsid w:val="005E678D"/>
    <w:rsid w:val="005E6852"/>
    <w:rsid w:val="005E6CB2"/>
    <w:rsid w:val="005E7026"/>
    <w:rsid w:val="005E7611"/>
    <w:rsid w:val="005E763C"/>
    <w:rsid w:val="005E7871"/>
    <w:rsid w:val="005E7902"/>
    <w:rsid w:val="005E796D"/>
    <w:rsid w:val="005E7AF5"/>
    <w:rsid w:val="005E7E3A"/>
    <w:rsid w:val="005E7EC4"/>
    <w:rsid w:val="005E7FC6"/>
    <w:rsid w:val="005F02FF"/>
    <w:rsid w:val="005F0925"/>
    <w:rsid w:val="005F0A04"/>
    <w:rsid w:val="005F0D9D"/>
    <w:rsid w:val="005F0DB9"/>
    <w:rsid w:val="005F0DFF"/>
    <w:rsid w:val="005F116D"/>
    <w:rsid w:val="005F12CE"/>
    <w:rsid w:val="005F152F"/>
    <w:rsid w:val="005F1618"/>
    <w:rsid w:val="005F17BF"/>
    <w:rsid w:val="005F1962"/>
    <w:rsid w:val="005F1C0C"/>
    <w:rsid w:val="005F1C88"/>
    <w:rsid w:val="005F1C98"/>
    <w:rsid w:val="005F20DA"/>
    <w:rsid w:val="005F3207"/>
    <w:rsid w:val="005F32EA"/>
    <w:rsid w:val="005F397D"/>
    <w:rsid w:val="005F3C9C"/>
    <w:rsid w:val="005F3D2D"/>
    <w:rsid w:val="005F4915"/>
    <w:rsid w:val="005F4C44"/>
    <w:rsid w:val="005F55BC"/>
    <w:rsid w:val="005F57F2"/>
    <w:rsid w:val="005F5985"/>
    <w:rsid w:val="005F5CD4"/>
    <w:rsid w:val="005F5D49"/>
    <w:rsid w:val="005F5EA5"/>
    <w:rsid w:val="005F5F27"/>
    <w:rsid w:val="005F641B"/>
    <w:rsid w:val="005F6568"/>
    <w:rsid w:val="005F68B3"/>
    <w:rsid w:val="005F6A41"/>
    <w:rsid w:val="005F6A56"/>
    <w:rsid w:val="005F70F3"/>
    <w:rsid w:val="005F7565"/>
    <w:rsid w:val="005F7ECA"/>
    <w:rsid w:val="005F7F79"/>
    <w:rsid w:val="00600089"/>
    <w:rsid w:val="00600137"/>
    <w:rsid w:val="006001A9"/>
    <w:rsid w:val="00600CFC"/>
    <w:rsid w:val="00600EF7"/>
    <w:rsid w:val="006012B1"/>
    <w:rsid w:val="00601CDE"/>
    <w:rsid w:val="0060249E"/>
    <w:rsid w:val="00602B03"/>
    <w:rsid w:val="00602BCB"/>
    <w:rsid w:val="006030EF"/>
    <w:rsid w:val="006031F4"/>
    <w:rsid w:val="006036AF"/>
    <w:rsid w:val="0060382B"/>
    <w:rsid w:val="00603CC1"/>
    <w:rsid w:val="00604549"/>
    <w:rsid w:val="00604F03"/>
    <w:rsid w:val="00604F7B"/>
    <w:rsid w:val="00604FE8"/>
    <w:rsid w:val="0060519A"/>
    <w:rsid w:val="006056F9"/>
    <w:rsid w:val="006058BF"/>
    <w:rsid w:val="00605D13"/>
    <w:rsid w:val="00606489"/>
    <w:rsid w:val="00606B4E"/>
    <w:rsid w:val="006070CB"/>
    <w:rsid w:val="00607290"/>
    <w:rsid w:val="006073EE"/>
    <w:rsid w:val="00607C81"/>
    <w:rsid w:val="00607CC4"/>
    <w:rsid w:val="00607CF2"/>
    <w:rsid w:val="006101D7"/>
    <w:rsid w:val="00610287"/>
    <w:rsid w:val="00610612"/>
    <w:rsid w:val="00610784"/>
    <w:rsid w:val="00610CC2"/>
    <w:rsid w:val="00610E05"/>
    <w:rsid w:val="006113F3"/>
    <w:rsid w:val="00611402"/>
    <w:rsid w:val="0061173B"/>
    <w:rsid w:val="00612207"/>
    <w:rsid w:val="0061221B"/>
    <w:rsid w:val="006124B1"/>
    <w:rsid w:val="006126B5"/>
    <w:rsid w:val="00612D5D"/>
    <w:rsid w:val="00612EC1"/>
    <w:rsid w:val="00612F6B"/>
    <w:rsid w:val="00613297"/>
    <w:rsid w:val="00613A19"/>
    <w:rsid w:val="00613CF9"/>
    <w:rsid w:val="006142D5"/>
    <w:rsid w:val="00615B3B"/>
    <w:rsid w:val="00616486"/>
    <w:rsid w:val="00616E5F"/>
    <w:rsid w:val="006174F7"/>
    <w:rsid w:val="00617935"/>
    <w:rsid w:val="00620172"/>
    <w:rsid w:val="00620A19"/>
    <w:rsid w:val="00621412"/>
    <w:rsid w:val="006217DC"/>
    <w:rsid w:val="006217EE"/>
    <w:rsid w:val="006218A1"/>
    <w:rsid w:val="00621BAD"/>
    <w:rsid w:val="00621D4C"/>
    <w:rsid w:val="0062278D"/>
    <w:rsid w:val="00622D02"/>
    <w:rsid w:val="0062358D"/>
    <w:rsid w:val="006236B5"/>
    <w:rsid w:val="0062425A"/>
    <w:rsid w:val="006244EC"/>
    <w:rsid w:val="0062474A"/>
    <w:rsid w:val="00624EB1"/>
    <w:rsid w:val="00625664"/>
    <w:rsid w:val="00625BE1"/>
    <w:rsid w:val="00625DCF"/>
    <w:rsid w:val="006260FE"/>
    <w:rsid w:val="00626319"/>
    <w:rsid w:val="00626814"/>
    <w:rsid w:val="0062698D"/>
    <w:rsid w:val="00626B6C"/>
    <w:rsid w:val="00627247"/>
    <w:rsid w:val="006273E1"/>
    <w:rsid w:val="006279A0"/>
    <w:rsid w:val="00627A3A"/>
    <w:rsid w:val="0063008F"/>
    <w:rsid w:val="00630226"/>
    <w:rsid w:val="0063033F"/>
    <w:rsid w:val="0063062E"/>
    <w:rsid w:val="0063081F"/>
    <w:rsid w:val="00630C65"/>
    <w:rsid w:val="0063173D"/>
    <w:rsid w:val="00631E84"/>
    <w:rsid w:val="006322B7"/>
    <w:rsid w:val="00632376"/>
    <w:rsid w:val="006325F2"/>
    <w:rsid w:val="00632B23"/>
    <w:rsid w:val="00632E1B"/>
    <w:rsid w:val="006337E8"/>
    <w:rsid w:val="006338E4"/>
    <w:rsid w:val="00633B0A"/>
    <w:rsid w:val="00633C38"/>
    <w:rsid w:val="00633C5A"/>
    <w:rsid w:val="00633DF8"/>
    <w:rsid w:val="006340E3"/>
    <w:rsid w:val="0063440B"/>
    <w:rsid w:val="0063546C"/>
    <w:rsid w:val="006359BA"/>
    <w:rsid w:val="00635B45"/>
    <w:rsid w:val="00635C0A"/>
    <w:rsid w:val="00635C69"/>
    <w:rsid w:val="00635FCB"/>
    <w:rsid w:val="006362C2"/>
    <w:rsid w:val="0063649A"/>
    <w:rsid w:val="00636632"/>
    <w:rsid w:val="00636998"/>
    <w:rsid w:val="00636B32"/>
    <w:rsid w:val="00636C3F"/>
    <w:rsid w:val="00636F56"/>
    <w:rsid w:val="0063706A"/>
    <w:rsid w:val="0063711C"/>
    <w:rsid w:val="006372E0"/>
    <w:rsid w:val="006372E1"/>
    <w:rsid w:val="00637411"/>
    <w:rsid w:val="00637BCA"/>
    <w:rsid w:val="00640457"/>
    <w:rsid w:val="006407A8"/>
    <w:rsid w:val="00640B62"/>
    <w:rsid w:val="00640C5F"/>
    <w:rsid w:val="00640DD6"/>
    <w:rsid w:val="00640E99"/>
    <w:rsid w:val="00640F58"/>
    <w:rsid w:val="006413EF"/>
    <w:rsid w:val="00641995"/>
    <w:rsid w:val="00641DBF"/>
    <w:rsid w:val="00642B35"/>
    <w:rsid w:val="00642B56"/>
    <w:rsid w:val="00643193"/>
    <w:rsid w:val="006433D9"/>
    <w:rsid w:val="00643A14"/>
    <w:rsid w:val="00643EEA"/>
    <w:rsid w:val="00644678"/>
    <w:rsid w:val="0064467D"/>
    <w:rsid w:val="00644758"/>
    <w:rsid w:val="006447BD"/>
    <w:rsid w:val="00644942"/>
    <w:rsid w:val="00644A52"/>
    <w:rsid w:val="00644B4C"/>
    <w:rsid w:val="00644B90"/>
    <w:rsid w:val="00644BA4"/>
    <w:rsid w:val="0064555D"/>
    <w:rsid w:val="0064559F"/>
    <w:rsid w:val="00645D21"/>
    <w:rsid w:val="00646270"/>
    <w:rsid w:val="006462A6"/>
    <w:rsid w:val="00646323"/>
    <w:rsid w:val="0064657C"/>
    <w:rsid w:val="00646DDA"/>
    <w:rsid w:val="00646FC8"/>
    <w:rsid w:val="00647532"/>
    <w:rsid w:val="0064763B"/>
    <w:rsid w:val="006477AA"/>
    <w:rsid w:val="00647BBB"/>
    <w:rsid w:val="00647D4B"/>
    <w:rsid w:val="006505AF"/>
    <w:rsid w:val="0065075D"/>
    <w:rsid w:val="006510A5"/>
    <w:rsid w:val="0065127D"/>
    <w:rsid w:val="006514B9"/>
    <w:rsid w:val="006514C7"/>
    <w:rsid w:val="0065157C"/>
    <w:rsid w:val="00651A10"/>
    <w:rsid w:val="00651C52"/>
    <w:rsid w:val="00651E2A"/>
    <w:rsid w:val="0065213A"/>
    <w:rsid w:val="006522EF"/>
    <w:rsid w:val="00652C15"/>
    <w:rsid w:val="00652CCB"/>
    <w:rsid w:val="00652EAE"/>
    <w:rsid w:val="00653323"/>
    <w:rsid w:val="0065335E"/>
    <w:rsid w:val="006533B7"/>
    <w:rsid w:val="006536BE"/>
    <w:rsid w:val="006538EF"/>
    <w:rsid w:val="0065397C"/>
    <w:rsid w:val="00653A60"/>
    <w:rsid w:val="00653B79"/>
    <w:rsid w:val="00653CB7"/>
    <w:rsid w:val="006542C8"/>
    <w:rsid w:val="0065470F"/>
    <w:rsid w:val="00654919"/>
    <w:rsid w:val="00654FDC"/>
    <w:rsid w:val="00655A62"/>
    <w:rsid w:val="006564D2"/>
    <w:rsid w:val="0065678E"/>
    <w:rsid w:val="006570D6"/>
    <w:rsid w:val="00657201"/>
    <w:rsid w:val="00657322"/>
    <w:rsid w:val="00657547"/>
    <w:rsid w:val="0065778B"/>
    <w:rsid w:val="006600CD"/>
    <w:rsid w:val="0066057A"/>
    <w:rsid w:val="00660792"/>
    <w:rsid w:val="006608A1"/>
    <w:rsid w:val="0066152C"/>
    <w:rsid w:val="00661826"/>
    <w:rsid w:val="00661836"/>
    <w:rsid w:val="006619C5"/>
    <w:rsid w:val="00661E2D"/>
    <w:rsid w:val="00661F33"/>
    <w:rsid w:val="00662212"/>
    <w:rsid w:val="0066239F"/>
    <w:rsid w:val="006627F9"/>
    <w:rsid w:val="006632D5"/>
    <w:rsid w:val="00663839"/>
    <w:rsid w:val="0066386E"/>
    <w:rsid w:val="00664250"/>
    <w:rsid w:val="0066448B"/>
    <w:rsid w:val="00664DE4"/>
    <w:rsid w:val="00664EC0"/>
    <w:rsid w:val="006654F2"/>
    <w:rsid w:val="006656F0"/>
    <w:rsid w:val="00665961"/>
    <w:rsid w:val="00665A3A"/>
    <w:rsid w:val="00665C32"/>
    <w:rsid w:val="00665D4F"/>
    <w:rsid w:val="00665DB3"/>
    <w:rsid w:val="00666319"/>
    <w:rsid w:val="00666AAF"/>
    <w:rsid w:val="00666C3A"/>
    <w:rsid w:val="00666D5E"/>
    <w:rsid w:val="00666E50"/>
    <w:rsid w:val="006674B9"/>
    <w:rsid w:val="00667512"/>
    <w:rsid w:val="00667573"/>
    <w:rsid w:val="0066761A"/>
    <w:rsid w:val="006676B5"/>
    <w:rsid w:val="00667AFE"/>
    <w:rsid w:val="00667E48"/>
    <w:rsid w:val="00667E94"/>
    <w:rsid w:val="00667F20"/>
    <w:rsid w:val="00670056"/>
    <w:rsid w:val="00670460"/>
    <w:rsid w:val="0067091B"/>
    <w:rsid w:val="00670B0A"/>
    <w:rsid w:val="00670D09"/>
    <w:rsid w:val="006718AA"/>
    <w:rsid w:val="00671F1D"/>
    <w:rsid w:val="006722C2"/>
    <w:rsid w:val="006727D5"/>
    <w:rsid w:val="0067284E"/>
    <w:rsid w:val="006728CF"/>
    <w:rsid w:val="00672935"/>
    <w:rsid w:val="0067304F"/>
    <w:rsid w:val="00673979"/>
    <w:rsid w:val="00673D93"/>
    <w:rsid w:val="00673E40"/>
    <w:rsid w:val="0067428F"/>
    <w:rsid w:val="00674979"/>
    <w:rsid w:val="00674A91"/>
    <w:rsid w:val="006750D6"/>
    <w:rsid w:val="0067523A"/>
    <w:rsid w:val="00675242"/>
    <w:rsid w:val="0067526A"/>
    <w:rsid w:val="00675DAF"/>
    <w:rsid w:val="0067609B"/>
    <w:rsid w:val="00676157"/>
    <w:rsid w:val="0067631C"/>
    <w:rsid w:val="00676C4C"/>
    <w:rsid w:val="0067722C"/>
    <w:rsid w:val="0067762B"/>
    <w:rsid w:val="006777DA"/>
    <w:rsid w:val="006778BB"/>
    <w:rsid w:val="00677E3F"/>
    <w:rsid w:val="006804B3"/>
    <w:rsid w:val="0068096E"/>
    <w:rsid w:val="00680C10"/>
    <w:rsid w:val="00680D85"/>
    <w:rsid w:val="00681139"/>
    <w:rsid w:val="00681262"/>
    <w:rsid w:val="006814A5"/>
    <w:rsid w:val="0068181F"/>
    <w:rsid w:val="00681983"/>
    <w:rsid w:val="00681B2C"/>
    <w:rsid w:val="00681B4F"/>
    <w:rsid w:val="00681C35"/>
    <w:rsid w:val="00681FC2"/>
    <w:rsid w:val="00681FCD"/>
    <w:rsid w:val="00682C60"/>
    <w:rsid w:val="006837BE"/>
    <w:rsid w:val="00683BFE"/>
    <w:rsid w:val="006844CE"/>
    <w:rsid w:val="006845F4"/>
    <w:rsid w:val="00684A90"/>
    <w:rsid w:val="00684DAA"/>
    <w:rsid w:val="00685144"/>
    <w:rsid w:val="00685198"/>
    <w:rsid w:val="006851E0"/>
    <w:rsid w:val="006854C6"/>
    <w:rsid w:val="006857AE"/>
    <w:rsid w:val="00685804"/>
    <w:rsid w:val="00685831"/>
    <w:rsid w:val="00686076"/>
    <w:rsid w:val="00686317"/>
    <w:rsid w:val="0068643B"/>
    <w:rsid w:val="00687752"/>
    <w:rsid w:val="006877A3"/>
    <w:rsid w:val="006879E3"/>
    <w:rsid w:val="00687E8C"/>
    <w:rsid w:val="00690A39"/>
    <w:rsid w:val="00690F72"/>
    <w:rsid w:val="00691199"/>
    <w:rsid w:val="006915CF"/>
    <w:rsid w:val="0069177F"/>
    <w:rsid w:val="00691ACE"/>
    <w:rsid w:val="00691E4D"/>
    <w:rsid w:val="00692404"/>
    <w:rsid w:val="0069254B"/>
    <w:rsid w:val="006927D8"/>
    <w:rsid w:val="006930CC"/>
    <w:rsid w:val="006932A4"/>
    <w:rsid w:val="0069346E"/>
    <w:rsid w:val="00693590"/>
    <w:rsid w:val="0069363A"/>
    <w:rsid w:val="00693721"/>
    <w:rsid w:val="00693754"/>
    <w:rsid w:val="00693D2F"/>
    <w:rsid w:val="0069447F"/>
    <w:rsid w:val="00694899"/>
    <w:rsid w:val="00694B47"/>
    <w:rsid w:val="00694E36"/>
    <w:rsid w:val="00695078"/>
    <w:rsid w:val="006950AB"/>
    <w:rsid w:val="0069548D"/>
    <w:rsid w:val="00695540"/>
    <w:rsid w:val="00695A4C"/>
    <w:rsid w:val="00695B89"/>
    <w:rsid w:val="00696D42"/>
    <w:rsid w:val="006971C7"/>
    <w:rsid w:val="00697385"/>
    <w:rsid w:val="006974A1"/>
    <w:rsid w:val="006A0B1A"/>
    <w:rsid w:val="006A0CB7"/>
    <w:rsid w:val="006A0F84"/>
    <w:rsid w:val="006A16DA"/>
    <w:rsid w:val="006A1C73"/>
    <w:rsid w:val="006A1CE2"/>
    <w:rsid w:val="006A1F69"/>
    <w:rsid w:val="006A2124"/>
    <w:rsid w:val="006A222F"/>
    <w:rsid w:val="006A24C8"/>
    <w:rsid w:val="006A269F"/>
    <w:rsid w:val="006A2922"/>
    <w:rsid w:val="006A29B7"/>
    <w:rsid w:val="006A30B6"/>
    <w:rsid w:val="006A323E"/>
    <w:rsid w:val="006A420B"/>
    <w:rsid w:val="006A4698"/>
    <w:rsid w:val="006A4E81"/>
    <w:rsid w:val="006A524C"/>
    <w:rsid w:val="006A5314"/>
    <w:rsid w:val="006A61E0"/>
    <w:rsid w:val="006A63EB"/>
    <w:rsid w:val="006A65E5"/>
    <w:rsid w:val="006A766B"/>
    <w:rsid w:val="006A7A49"/>
    <w:rsid w:val="006A7CD8"/>
    <w:rsid w:val="006B00ED"/>
    <w:rsid w:val="006B0334"/>
    <w:rsid w:val="006B0446"/>
    <w:rsid w:val="006B0521"/>
    <w:rsid w:val="006B05B0"/>
    <w:rsid w:val="006B0895"/>
    <w:rsid w:val="006B0BEC"/>
    <w:rsid w:val="006B1074"/>
    <w:rsid w:val="006B189B"/>
    <w:rsid w:val="006B1BAD"/>
    <w:rsid w:val="006B1BB5"/>
    <w:rsid w:val="006B20C2"/>
    <w:rsid w:val="006B2253"/>
    <w:rsid w:val="006B22A5"/>
    <w:rsid w:val="006B255F"/>
    <w:rsid w:val="006B26C7"/>
    <w:rsid w:val="006B2844"/>
    <w:rsid w:val="006B347E"/>
    <w:rsid w:val="006B38DF"/>
    <w:rsid w:val="006B3F7F"/>
    <w:rsid w:val="006B44C9"/>
    <w:rsid w:val="006B45B4"/>
    <w:rsid w:val="006B4E00"/>
    <w:rsid w:val="006B4EF8"/>
    <w:rsid w:val="006B5004"/>
    <w:rsid w:val="006B518F"/>
    <w:rsid w:val="006B58D6"/>
    <w:rsid w:val="006B5990"/>
    <w:rsid w:val="006B65C0"/>
    <w:rsid w:val="006B6628"/>
    <w:rsid w:val="006B68E5"/>
    <w:rsid w:val="006B6902"/>
    <w:rsid w:val="006B7240"/>
    <w:rsid w:val="006B759C"/>
    <w:rsid w:val="006B7A69"/>
    <w:rsid w:val="006B7CB9"/>
    <w:rsid w:val="006B7EFA"/>
    <w:rsid w:val="006C00CC"/>
    <w:rsid w:val="006C0583"/>
    <w:rsid w:val="006C0AF5"/>
    <w:rsid w:val="006C1591"/>
    <w:rsid w:val="006C1610"/>
    <w:rsid w:val="006C18EF"/>
    <w:rsid w:val="006C1D54"/>
    <w:rsid w:val="006C1DE5"/>
    <w:rsid w:val="006C1EC5"/>
    <w:rsid w:val="006C213E"/>
    <w:rsid w:val="006C224B"/>
    <w:rsid w:val="006C27BE"/>
    <w:rsid w:val="006C29A0"/>
    <w:rsid w:val="006C2B1F"/>
    <w:rsid w:val="006C2F5A"/>
    <w:rsid w:val="006C35C9"/>
    <w:rsid w:val="006C3676"/>
    <w:rsid w:val="006C3E70"/>
    <w:rsid w:val="006C4050"/>
    <w:rsid w:val="006C4083"/>
    <w:rsid w:val="006C44B9"/>
    <w:rsid w:val="006C462D"/>
    <w:rsid w:val="006C4F45"/>
    <w:rsid w:val="006C4F8C"/>
    <w:rsid w:val="006C5415"/>
    <w:rsid w:val="006C5936"/>
    <w:rsid w:val="006C59F1"/>
    <w:rsid w:val="006C5C20"/>
    <w:rsid w:val="006C5DE9"/>
    <w:rsid w:val="006C6476"/>
    <w:rsid w:val="006C6A42"/>
    <w:rsid w:val="006C6C49"/>
    <w:rsid w:val="006C7255"/>
    <w:rsid w:val="006C7CF6"/>
    <w:rsid w:val="006D01FB"/>
    <w:rsid w:val="006D0285"/>
    <w:rsid w:val="006D12E1"/>
    <w:rsid w:val="006D135F"/>
    <w:rsid w:val="006D158A"/>
    <w:rsid w:val="006D1AC1"/>
    <w:rsid w:val="006D2401"/>
    <w:rsid w:val="006D2BC7"/>
    <w:rsid w:val="006D330B"/>
    <w:rsid w:val="006D37D2"/>
    <w:rsid w:val="006D3956"/>
    <w:rsid w:val="006D3A49"/>
    <w:rsid w:val="006D3C62"/>
    <w:rsid w:val="006D3DBB"/>
    <w:rsid w:val="006D3DD1"/>
    <w:rsid w:val="006D458A"/>
    <w:rsid w:val="006D46F4"/>
    <w:rsid w:val="006D4E5E"/>
    <w:rsid w:val="006D52B5"/>
    <w:rsid w:val="006D5391"/>
    <w:rsid w:val="006D571E"/>
    <w:rsid w:val="006D5FB1"/>
    <w:rsid w:val="006D61D8"/>
    <w:rsid w:val="006D6961"/>
    <w:rsid w:val="006D6A29"/>
    <w:rsid w:val="006D6BC5"/>
    <w:rsid w:val="006D6C15"/>
    <w:rsid w:val="006D73C9"/>
    <w:rsid w:val="006D7542"/>
    <w:rsid w:val="006D7882"/>
    <w:rsid w:val="006D7A9B"/>
    <w:rsid w:val="006D7BFB"/>
    <w:rsid w:val="006E037E"/>
    <w:rsid w:val="006E0400"/>
    <w:rsid w:val="006E0E07"/>
    <w:rsid w:val="006E1056"/>
    <w:rsid w:val="006E14C3"/>
    <w:rsid w:val="006E14D7"/>
    <w:rsid w:val="006E15C0"/>
    <w:rsid w:val="006E1862"/>
    <w:rsid w:val="006E1984"/>
    <w:rsid w:val="006E1E5B"/>
    <w:rsid w:val="006E1F6D"/>
    <w:rsid w:val="006E1FD7"/>
    <w:rsid w:val="006E20B0"/>
    <w:rsid w:val="006E22BD"/>
    <w:rsid w:val="006E24DE"/>
    <w:rsid w:val="006E27BC"/>
    <w:rsid w:val="006E292C"/>
    <w:rsid w:val="006E30CD"/>
    <w:rsid w:val="006E31DE"/>
    <w:rsid w:val="006E35BD"/>
    <w:rsid w:val="006E3B85"/>
    <w:rsid w:val="006E4091"/>
    <w:rsid w:val="006E44AC"/>
    <w:rsid w:val="006E452E"/>
    <w:rsid w:val="006E47A8"/>
    <w:rsid w:val="006E47FD"/>
    <w:rsid w:val="006E4BEB"/>
    <w:rsid w:val="006E541B"/>
    <w:rsid w:val="006E545F"/>
    <w:rsid w:val="006E54D7"/>
    <w:rsid w:val="006E558C"/>
    <w:rsid w:val="006E563C"/>
    <w:rsid w:val="006E5682"/>
    <w:rsid w:val="006E571F"/>
    <w:rsid w:val="006E5799"/>
    <w:rsid w:val="006E599C"/>
    <w:rsid w:val="006E5F14"/>
    <w:rsid w:val="006E62AE"/>
    <w:rsid w:val="006E6B5C"/>
    <w:rsid w:val="006E70AE"/>
    <w:rsid w:val="006E7188"/>
    <w:rsid w:val="006E72E5"/>
    <w:rsid w:val="006E7BC7"/>
    <w:rsid w:val="006E7CD4"/>
    <w:rsid w:val="006F03AF"/>
    <w:rsid w:val="006F0412"/>
    <w:rsid w:val="006F0881"/>
    <w:rsid w:val="006F133F"/>
    <w:rsid w:val="006F1737"/>
    <w:rsid w:val="006F17AF"/>
    <w:rsid w:val="006F24E6"/>
    <w:rsid w:val="006F2521"/>
    <w:rsid w:val="006F28D1"/>
    <w:rsid w:val="006F2C36"/>
    <w:rsid w:val="006F32F8"/>
    <w:rsid w:val="006F3345"/>
    <w:rsid w:val="006F35DD"/>
    <w:rsid w:val="006F36D9"/>
    <w:rsid w:val="006F396B"/>
    <w:rsid w:val="006F3B4A"/>
    <w:rsid w:val="006F446D"/>
    <w:rsid w:val="006F461A"/>
    <w:rsid w:val="006F4651"/>
    <w:rsid w:val="006F46BD"/>
    <w:rsid w:val="006F477D"/>
    <w:rsid w:val="006F4798"/>
    <w:rsid w:val="006F4943"/>
    <w:rsid w:val="006F4967"/>
    <w:rsid w:val="006F4AB0"/>
    <w:rsid w:val="006F4D46"/>
    <w:rsid w:val="006F5B78"/>
    <w:rsid w:val="006F5E96"/>
    <w:rsid w:val="006F5FE0"/>
    <w:rsid w:val="006F616E"/>
    <w:rsid w:val="006F65C8"/>
    <w:rsid w:val="006F6908"/>
    <w:rsid w:val="006F6C7D"/>
    <w:rsid w:val="006F6DAD"/>
    <w:rsid w:val="006F6EF7"/>
    <w:rsid w:val="006F76D7"/>
    <w:rsid w:val="006F7813"/>
    <w:rsid w:val="00700428"/>
    <w:rsid w:val="00700578"/>
    <w:rsid w:val="007014E8"/>
    <w:rsid w:val="007017B2"/>
    <w:rsid w:val="0070184A"/>
    <w:rsid w:val="00701A2C"/>
    <w:rsid w:val="00701D3F"/>
    <w:rsid w:val="0070202F"/>
    <w:rsid w:val="007021A1"/>
    <w:rsid w:val="0070242A"/>
    <w:rsid w:val="007025B7"/>
    <w:rsid w:val="0070271A"/>
    <w:rsid w:val="0070318F"/>
    <w:rsid w:val="00703482"/>
    <w:rsid w:val="0070374F"/>
    <w:rsid w:val="00703DBD"/>
    <w:rsid w:val="00703DDE"/>
    <w:rsid w:val="00703E7F"/>
    <w:rsid w:val="00703FE6"/>
    <w:rsid w:val="00704CC0"/>
    <w:rsid w:val="00705130"/>
    <w:rsid w:val="007055BC"/>
    <w:rsid w:val="00706401"/>
    <w:rsid w:val="00706CF0"/>
    <w:rsid w:val="00706F39"/>
    <w:rsid w:val="00706FB9"/>
    <w:rsid w:val="0070721D"/>
    <w:rsid w:val="00707634"/>
    <w:rsid w:val="007076DB"/>
    <w:rsid w:val="00707C25"/>
    <w:rsid w:val="00707ED1"/>
    <w:rsid w:val="0071010B"/>
    <w:rsid w:val="00710880"/>
    <w:rsid w:val="00710AE4"/>
    <w:rsid w:val="007117B3"/>
    <w:rsid w:val="00711C60"/>
    <w:rsid w:val="00711CF2"/>
    <w:rsid w:val="00711E24"/>
    <w:rsid w:val="00711FCF"/>
    <w:rsid w:val="007124CF"/>
    <w:rsid w:val="007129E6"/>
    <w:rsid w:val="00712CD6"/>
    <w:rsid w:val="00712ED4"/>
    <w:rsid w:val="00713389"/>
    <w:rsid w:val="0071394B"/>
    <w:rsid w:val="00713FE6"/>
    <w:rsid w:val="007141EA"/>
    <w:rsid w:val="00714382"/>
    <w:rsid w:val="007143C2"/>
    <w:rsid w:val="007145B8"/>
    <w:rsid w:val="00714670"/>
    <w:rsid w:val="00714F25"/>
    <w:rsid w:val="0071532E"/>
    <w:rsid w:val="007156D0"/>
    <w:rsid w:val="00715886"/>
    <w:rsid w:val="007158C0"/>
    <w:rsid w:val="00716A32"/>
    <w:rsid w:val="00716C52"/>
    <w:rsid w:val="00717552"/>
    <w:rsid w:val="00717AD4"/>
    <w:rsid w:val="00717C46"/>
    <w:rsid w:val="00717E83"/>
    <w:rsid w:val="007200FD"/>
    <w:rsid w:val="007204F8"/>
    <w:rsid w:val="00720910"/>
    <w:rsid w:val="00720FE8"/>
    <w:rsid w:val="00721029"/>
    <w:rsid w:val="00721135"/>
    <w:rsid w:val="00721261"/>
    <w:rsid w:val="007213C7"/>
    <w:rsid w:val="00721CE3"/>
    <w:rsid w:val="00721E0B"/>
    <w:rsid w:val="007227CE"/>
    <w:rsid w:val="00722A8B"/>
    <w:rsid w:val="00723172"/>
    <w:rsid w:val="0072325B"/>
    <w:rsid w:val="007233A0"/>
    <w:rsid w:val="00723957"/>
    <w:rsid w:val="00723B8A"/>
    <w:rsid w:val="00723D8E"/>
    <w:rsid w:val="00724501"/>
    <w:rsid w:val="00725590"/>
    <w:rsid w:val="00725A1B"/>
    <w:rsid w:val="00725A8C"/>
    <w:rsid w:val="00725AD9"/>
    <w:rsid w:val="00725CA2"/>
    <w:rsid w:val="00725D05"/>
    <w:rsid w:val="007262A3"/>
    <w:rsid w:val="0072648C"/>
    <w:rsid w:val="007265D9"/>
    <w:rsid w:val="00726A2D"/>
    <w:rsid w:val="00726CE4"/>
    <w:rsid w:val="007272BE"/>
    <w:rsid w:val="007275EA"/>
    <w:rsid w:val="00727674"/>
    <w:rsid w:val="007278C1"/>
    <w:rsid w:val="007278D3"/>
    <w:rsid w:val="007279AD"/>
    <w:rsid w:val="007279EE"/>
    <w:rsid w:val="00727C67"/>
    <w:rsid w:val="00727CE6"/>
    <w:rsid w:val="00727D98"/>
    <w:rsid w:val="0073045A"/>
    <w:rsid w:val="007307DF"/>
    <w:rsid w:val="0073139E"/>
    <w:rsid w:val="007313A5"/>
    <w:rsid w:val="007316BF"/>
    <w:rsid w:val="00732803"/>
    <w:rsid w:val="00732885"/>
    <w:rsid w:val="0073303B"/>
    <w:rsid w:val="007330AA"/>
    <w:rsid w:val="00733491"/>
    <w:rsid w:val="0073373E"/>
    <w:rsid w:val="0073391D"/>
    <w:rsid w:val="00733A84"/>
    <w:rsid w:val="00734037"/>
    <w:rsid w:val="0073419B"/>
    <w:rsid w:val="00734296"/>
    <w:rsid w:val="007345FC"/>
    <w:rsid w:val="007346B2"/>
    <w:rsid w:val="00734B7E"/>
    <w:rsid w:val="00734C31"/>
    <w:rsid w:val="00734ECA"/>
    <w:rsid w:val="0073510C"/>
    <w:rsid w:val="00735142"/>
    <w:rsid w:val="007353BE"/>
    <w:rsid w:val="007353C4"/>
    <w:rsid w:val="0073582D"/>
    <w:rsid w:val="00735851"/>
    <w:rsid w:val="00735DAE"/>
    <w:rsid w:val="00735FCA"/>
    <w:rsid w:val="007361FF"/>
    <w:rsid w:val="0073679B"/>
    <w:rsid w:val="00737436"/>
    <w:rsid w:val="007378AE"/>
    <w:rsid w:val="00737FD2"/>
    <w:rsid w:val="007400BB"/>
    <w:rsid w:val="0074033F"/>
    <w:rsid w:val="007403C2"/>
    <w:rsid w:val="007406CF"/>
    <w:rsid w:val="00740AA5"/>
    <w:rsid w:val="00740FA0"/>
    <w:rsid w:val="007413BB"/>
    <w:rsid w:val="007414A4"/>
    <w:rsid w:val="00741706"/>
    <w:rsid w:val="007420AF"/>
    <w:rsid w:val="0074236F"/>
    <w:rsid w:val="0074265E"/>
    <w:rsid w:val="0074267F"/>
    <w:rsid w:val="007427F6"/>
    <w:rsid w:val="00742B52"/>
    <w:rsid w:val="00742C6C"/>
    <w:rsid w:val="00742E47"/>
    <w:rsid w:val="0074324C"/>
    <w:rsid w:val="00743455"/>
    <w:rsid w:val="007434D1"/>
    <w:rsid w:val="0074392A"/>
    <w:rsid w:val="00743D2F"/>
    <w:rsid w:val="00744028"/>
    <w:rsid w:val="00744160"/>
    <w:rsid w:val="00744203"/>
    <w:rsid w:val="00744276"/>
    <w:rsid w:val="0074455F"/>
    <w:rsid w:val="007445AA"/>
    <w:rsid w:val="0074505A"/>
    <w:rsid w:val="0074507F"/>
    <w:rsid w:val="007453AA"/>
    <w:rsid w:val="00745998"/>
    <w:rsid w:val="0074605A"/>
    <w:rsid w:val="007460F7"/>
    <w:rsid w:val="007461C8"/>
    <w:rsid w:val="00746429"/>
    <w:rsid w:val="007466F6"/>
    <w:rsid w:val="00746731"/>
    <w:rsid w:val="00746873"/>
    <w:rsid w:val="00746D66"/>
    <w:rsid w:val="00746D95"/>
    <w:rsid w:val="00747379"/>
    <w:rsid w:val="007473D5"/>
    <w:rsid w:val="00747424"/>
    <w:rsid w:val="00747515"/>
    <w:rsid w:val="007479A7"/>
    <w:rsid w:val="00747FCF"/>
    <w:rsid w:val="00750131"/>
    <w:rsid w:val="0075017B"/>
    <w:rsid w:val="0075091E"/>
    <w:rsid w:val="0075092E"/>
    <w:rsid w:val="00750962"/>
    <w:rsid w:val="007509BE"/>
    <w:rsid w:val="007518BA"/>
    <w:rsid w:val="00751CE9"/>
    <w:rsid w:val="00751EEC"/>
    <w:rsid w:val="00751F40"/>
    <w:rsid w:val="00751F69"/>
    <w:rsid w:val="00752003"/>
    <w:rsid w:val="0075211D"/>
    <w:rsid w:val="00752590"/>
    <w:rsid w:val="007527CC"/>
    <w:rsid w:val="00752914"/>
    <w:rsid w:val="00752D4D"/>
    <w:rsid w:val="0075357B"/>
    <w:rsid w:val="00753844"/>
    <w:rsid w:val="00753D4B"/>
    <w:rsid w:val="00753DDD"/>
    <w:rsid w:val="0075412A"/>
    <w:rsid w:val="00754D4B"/>
    <w:rsid w:val="00754D6A"/>
    <w:rsid w:val="00754DE7"/>
    <w:rsid w:val="00754ECC"/>
    <w:rsid w:val="00755135"/>
    <w:rsid w:val="0075528E"/>
    <w:rsid w:val="00755500"/>
    <w:rsid w:val="00755C73"/>
    <w:rsid w:val="00755D1F"/>
    <w:rsid w:val="00756082"/>
    <w:rsid w:val="007563FE"/>
    <w:rsid w:val="00756676"/>
    <w:rsid w:val="00756ADD"/>
    <w:rsid w:val="0075713E"/>
    <w:rsid w:val="00757448"/>
    <w:rsid w:val="00757809"/>
    <w:rsid w:val="007600C3"/>
    <w:rsid w:val="00760281"/>
    <w:rsid w:val="00760C5C"/>
    <w:rsid w:val="00760E3E"/>
    <w:rsid w:val="0076102B"/>
    <w:rsid w:val="007616C5"/>
    <w:rsid w:val="007619DD"/>
    <w:rsid w:val="00761FAA"/>
    <w:rsid w:val="0076227B"/>
    <w:rsid w:val="007626AE"/>
    <w:rsid w:val="00762A17"/>
    <w:rsid w:val="00762A80"/>
    <w:rsid w:val="00762B6F"/>
    <w:rsid w:val="00764D51"/>
    <w:rsid w:val="00764E08"/>
    <w:rsid w:val="00764F93"/>
    <w:rsid w:val="00765085"/>
    <w:rsid w:val="00765F8E"/>
    <w:rsid w:val="0076604B"/>
    <w:rsid w:val="00766073"/>
    <w:rsid w:val="00766B3C"/>
    <w:rsid w:val="00766CF7"/>
    <w:rsid w:val="00766FD6"/>
    <w:rsid w:val="00767249"/>
    <w:rsid w:val="00767981"/>
    <w:rsid w:val="00767A88"/>
    <w:rsid w:val="00767ACB"/>
    <w:rsid w:val="00767D13"/>
    <w:rsid w:val="007700BD"/>
    <w:rsid w:val="007707FF"/>
    <w:rsid w:val="00771011"/>
    <w:rsid w:val="007717B6"/>
    <w:rsid w:val="00771D3E"/>
    <w:rsid w:val="00771F19"/>
    <w:rsid w:val="007720A2"/>
    <w:rsid w:val="00772106"/>
    <w:rsid w:val="00772268"/>
    <w:rsid w:val="007722E1"/>
    <w:rsid w:val="0077287B"/>
    <w:rsid w:val="00773015"/>
    <w:rsid w:val="00773303"/>
    <w:rsid w:val="007738EC"/>
    <w:rsid w:val="00773F70"/>
    <w:rsid w:val="00773F9B"/>
    <w:rsid w:val="00774309"/>
    <w:rsid w:val="00774407"/>
    <w:rsid w:val="007747EF"/>
    <w:rsid w:val="00774E0E"/>
    <w:rsid w:val="00774E60"/>
    <w:rsid w:val="00774ED7"/>
    <w:rsid w:val="00774EE3"/>
    <w:rsid w:val="00774F47"/>
    <w:rsid w:val="0077550C"/>
    <w:rsid w:val="0077592F"/>
    <w:rsid w:val="007761F4"/>
    <w:rsid w:val="00776237"/>
    <w:rsid w:val="0077665C"/>
    <w:rsid w:val="007767CA"/>
    <w:rsid w:val="00776B19"/>
    <w:rsid w:val="007772D2"/>
    <w:rsid w:val="00777471"/>
    <w:rsid w:val="007777AF"/>
    <w:rsid w:val="00780453"/>
    <w:rsid w:val="007805AE"/>
    <w:rsid w:val="007805C2"/>
    <w:rsid w:val="007805D2"/>
    <w:rsid w:val="00780E0E"/>
    <w:rsid w:val="007810D0"/>
    <w:rsid w:val="0078149B"/>
    <w:rsid w:val="0078166E"/>
    <w:rsid w:val="0078173F"/>
    <w:rsid w:val="00781D26"/>
    <w:rsid w:val="00781E8A"/>
    <w:rsid w:val="007821D9"/>
    <w:rsid w:val="00782370"/>
    <w:rsid w:val="00782638"/>
    <w:rsid w:val="0078278F"/>
    <w:rsid w:val="00782898"/>
    <w:rsid w:val="007829F3"/>
    <w:rsid w:val="00782C98"/>
    <w:rsid w:val="00783082"/>
    <w:rsid w:val="007831B9"/>
    <w:rsid w:val="00783389"/>
    <w:rsid w:val="007835CB"/>
    <w:rsid w:val="007838B4"/>
    <w:rsid w:val="00783D0E"/>
    <w:rsid w:val="00784180"/>
    <w:rsid w:val="007842A8"/>
    <w:rsid w:val="00784395"/>
    <w:rsid w:val="007844C2"/>
    <w:rsid w:val="00785C6D"/>
    <w:rsid w:val="00785EC3"/>
    <w:rsid w:val="007860E8"/>
    <w:rsid w:val="00786418"/>
    <w:rsid w:val="007865F1"/>
    <w:rsid w:val="00786BBF"/>
    <w:rsid w:val="00786BEF"/>
    <w:rsid w:val="00787273"/>
    <w:rsid w:val="0078789B"/>
    <w:rsid w:val="00787B81"/>
    <w:rsid w:val="00787BDF"/>
    <w:rsid w:val="00790156"/>
    <w:rsid w:val="00790367"/>
    <w:rsid w:val="00790C39"/>
    <w:rsid w:val="00790C85"/>
    <w:rsid w:val="00791317"/>
    <w:rsid w:val="00792928"/>
    <w:rsid w:val="00792BC9"/>
    <w:rsid w:val="00792D05"/>
    <w:rsid w:val="00792D80"/>
    <w:rsid w:val="00792F49"/>
    <w:rsid w:val="00793017"/>
    <w:rsid w:val="007930FE"/>
    <w:rsid w:val="007931C9"/>
    <w:rsid w:val="007932EE"/>
    <w:rsid w:val="0079334D"/>
    <w:rsid w:val="0079379F"/>
    <w:rsid w:val="0079425F"/>
    <w:rsid w:val="00794976"/>
    <w:rsid w:val="00795D98"/>
    <w:rsid w:val="007960DF"/>
    <w:rsid w:val="0079689C"/>
    <w:rsid w:val="007968AF"/>
    <w:rsid w:val="00796B2F"/>
    <w:rsid w:val="00796C16"/>
    <w:rsid w:val="00796D49"/>
    <w:rsid w:val="007970A1"/>
    <w:rsid w:val="00797377"/>
    <w:rsid w:val="007974E7"/>
    <w:rsid w:val="007975D0"/>
    <w:rsid w:val="007975D5"/>
    <w:rsid w:val="00797943"/>
    <w:rsid w:val="00797C1E"/>
    <w:rsid w:val="00797E5A"/>
    <w:rsid w:val="007A0CA9"/>
    <w:rsid w:val="007A0F33"/>
    <w:rsid w:val="007A1394"/>
    <w:rsid w:val="007A1623"/>
    <w:rsid w:val="007A1DFD"/>
    <w:rsid w:val="007A254B"/>
    <w:rsid w:val="007A2832"/>
    <w:rsid w:val="007A2C70"/>
    <w:rsid w:val="007A325E"/>
    <w:rsid w:val="007A37E5"/>
    <w:rsid w:val="007A38C4"/>
    <w:rsid w:val="007A39E8"/>
    <w:rsid w:val="007A3E3D"/>
    <w:rsid w:val="007A4367"/>
    <w:rsid w:val="007A4372"/>
    <w:rsid w:val="007A45B0"/>
    <w:rsid w:val="007A4834"/>
    <w:rsid w:val="007A496E"/>
    <w:rsid w:val="007A4BB4"/>
    <w:rsid w:val="007A4C45"/>
    <w:rsid w:val="007A4DDC"/>
    <w:rsid w:val="007A558A"/>
    <w:rsid w:val="007A56DC"/>
    <w:rsid w:val="007A6698"/>
    <w:rsid w:val="007A7231"/>
    <w:rsid w:val="007A7776"/>
    <w:rsid w:val="007A7C05"/>
    <w:rsid w:val="007A7D09"/>
    <w:rsid w:val="007A7E1F"/>
    <w:rsid w:val="007B0AE3"/>
    <w:rsid w:val="007B0F9A"/>
    <w:rsid w:val="007B0FBF"/>
    <w:rsid w:val="007B1050"/>
    <w:rsid w:val="007B1679"/>
    <w:rsid w:val="007B171D"/>
    <w:rsid w:val="007B1816"/>
    <w:rsid w:val="007B19D5"/>
    <w:rsid w:val="007B1E22"/>
    <w:rsid w:val="007B20F6"/>
    <w:rsid w:val="007B257E"/>
    <w:rsid w:val="007B258C"/>
    <w:rsid w:val="007B28F1"/>
    <w:rsid w:val="007B3016"/>
    <w:rsid w:val="007B3155"/>
    <w:rsid w:val="007B3320"/>
    <w:rsid w:val="007B33A8"/>
    <w:rsid w:val="007B487F"/>
    <w:rsid w:val="007B4B7D"/>
    <w:rsid w:val="007B4BC5"/>
    <w:rsid w:val="007B4C0B"/>
    <w:rsid w:val="007B529A"/>
    <w:rsid w:val="007B53EA"/>
    <w:rsid w:val="007B5898"/>
    <w:rsid w:val="007B5923"/>
    <w:rsid w:val="007B5AE4"/>
    <w:rsid w:val="007B5CBC"/>
    <w:rsid w:val="007B5DCD"/>
    <w:rsid w:val="007B6152"/>
    <w:rsid w:val="007B627B"/>
    <w:rsid w:val="007B654B"/>
    <w:rsid w:val="007B685C"/>
    <w:rsid w:val="007B6D6F"/>
    <w:rsid w:val="007B6E26"/>
    <w:rsid w:val="007B71A3"/>
    <w:rsid w:val="007B720C"/>
    <w:rsid w:val="007B7212"/>
    <w:rsid w:val="007B7572"/>
    <w:rsid w:val="007B7F71"/>
    <w:rsid w:val="007C01F1"/>
    <w:rsid w:val="007C117F"/>
    <w:rsid w:val="007C2117"/>
    <w:rsid w:val="007C21E5"/>
    <w:rsid w:val="007C2464"/>
    <w:rsid w:val="007C2A39"/>
    <w:rsid w:val="007C2BD9"/>
    <w:rsid w:val="007C2F96"/>
    <w:rsid w:val="007C314E"/>
    <w:rsid w:val="007C322E"/>
    <w:rsid w:val="007C357B"/>
    <w:rsid w:val="007C37EB"/>
    <w:rsid w:val="007C3D12"/>
    <w:rsid w:val="007C48D6"/>
    <w:rsid w:val="007C4B07"/>
    <w:rsid w:val="007C566B"/>
    <w:rsid w:val="007C58FA"/>
    <w:rsid w:val="007C5F68"/>
    <w:rsid w:val="007C6051"/>
    <w:rsid w:val="007C68E1"/>
    <w:rsid w:val="007C698B"/>
    <w:rsid w:val="007C6BE5"/>
    <w:rsid w:val="007C6C9A"/>
    <w:rsid w:val="007C6E7E"/>
    <w:rsid w:val="007C7421"/>
    <w:rsid w:val="007C77CB"/>
    <w:rsid w:val="007C796E"/>
    <w:rsid w:val="007D015D"/>
    <w:rsid w:val="007D01E9"/>
    <w:rsid w:val="007D0BC0"/>
    <w:rsid w:val="007D0D30"/>
    <w:rsid w:val="007D0E0F"/>
    <w:rsid w:val="007D0EAD"/>
    <w:rsid w:val="007D13E4"/>
    <w:rsid w:val="007D1A7D"/>
    <w:rsid w:val="007D1DB3"/>
    <w:rsid w:val="007D1F65"/>
    <w:rsid w:val="007D290A"/>
    <w:rsid w:val="007D2B3B"/>
    <w:rsid w:val="007D2FE3"/>
    <w:rsid w:val="007D3603"/>
    <w:rsid w:val="007D39ED"/>
    <w:rsid w:val="007D3BF0"/>
    <w:rsid w:val="007D4060"/>
    <w:rsid w:val="007D447C"/>
    <w:rsid w:val="007D488F"/>
    <w:rsid w:val="007D4C60"/>
    <w:rsid w:val="007D51F6"/>
    <w:rsid w:val="007D595F"/>
    <w:rsid w:val="007D59E6"/>
    <w:rsid w:val="007D5A96"/>
    <w:rsid w:val="007D6110"/>
    <w:rsid w:val="007D6281"/>
    <w:rsid w:val="007D6474"/>
    <w:rsid w:val="007D671F"/>
    <w:rsid w:val="007D6E0A"/>
    <w:rsid w:val="007D7600"/>
    <w:rsid w:val="007D7671"/>
    <w:rsid w:val="007D77A8"/>
    <w:rsid w:val="007D7ABD"/>
    <w:rsid w:val="007D7B36"/>
    <w:rsid w:val="007E0183"/>
    <w:rsid w:val="007E0ACF"/>
    <w:rsid w:val="007E0E4A"/>
    <w:rsid w:val="007E18F0"/>
    <w:rsid w:val="007E198F"/>
    <w:rsid w:val="007E1B26"/>
    <w:rsid w:val="007E283D"/>
    <w:rsid w:val="007E2E23"/>
    <w:rsid w:val="007E310C"/>
    <w:rsid w:val="007E3394"/>
    <w:rsid w:val="007E35DF"/>
    <w:rsid w:val="007E42BA"/>
    <w:rsid w:val="007E4BBD"/>
    <w:rsid w:val="007E4FF1"/>
    <w:rsid w:val="007E502D"/>
    <w:rsid w:val="007E505E"/>
    <w:rsid w:val="007E5172"/>
    <w:rsid w:val="007E600B"/>
    <w:rsid w:val="007E610A"/>
    <w:rsid w:val="007E65B2"/>
    <w:rsid w:val="007E65C9"/>
    <w:rsid w:val="007E705B"/>
    <w:rsid w:val="007E7114"/>
    <w:rsid w:val="007E7622"/>
    <w:rsid w:val="007E769D"/>
    <w:rsid w:val="007F0DEA"/>
    <w:rsid w:val="007F153E"/>
    <w:rsid w:val="007F16A1"/>
    <w:rsid w:val="007F20B3"/>
    <w:rsid w:val="007F2411"/>
    <w:rsid w:val="007F27F2"/>
    <w:rsid w:val="007F2EE7"/>
    <w:rsid w:val="007F32DE"/>
    <w:rsid w:val="007F35A4"/>
    <w:rsid w:val="007F3948"/>
    <w:rsid w:val="007F3EDB"/>
    <w:rsid w:val="007F457F"/>
    <w:rsid w:val="007F4B8B"/>
    <w:rsid w:val="007F512D"/>
    <w:rsid w:val="007F5327"/>
    <w:rsid w:val="007F587C"/>
    <w:rsid w:val="007F5D66"/>
    <w:rsid w:val="007F77B4"/>
    <w:rsid w:val="007F79D9"/>
    <w:rsid w:val="007F7A62"/>
    <w:rsid w:val="007F7BDB"/>
    <w:rsid w:val="008000C2"/>
    <w:rsid w:val="00800169"/>
    <w:rsid w:val="00800585"/>
    <w:rsid w:val="00800EBC"/>
    <w:rsid w:val="00800EEE"/>
    <w:rsid w:val="00801483"/>
    <w:rsid w:val="00801619"/>
    <w:rsid w:val="0080169D"/>
    <w:rsid w:val="00801DE6"/>
    <w:rsid w:val="0080298D"/>
    <w:rsid w:val="00802B40"/>
    <w:rsid w:val="00802B49"/>
    <w:rsid w:val="00803B6E"/>
    <w:rsid w:val="00803C01"/>
    <w:rsid w:val="00803CB7"/>
    <w:rsid w:val="00803E3D"/>
    <w:rsid w:val="0080464D"/>
    <w:rsid w:val="008046A1"/>
    <w:rsid w:val="008046F1"/>
    <w:rsid w:val="00804D9D"/>
    <w:rsid w:val="0080516A"/>
    <w:rsid w:val="00805BD5"/>
    <w:rsid w:val="00805C2C"/>
    <w:rsid w:val="00805C54"/>
    <w:rsid w:val="008063B3"/>
    <w:rsid w:val="00806635"/>
    <w:rsid w:val="0080686A"/>
    <w:rsid w:val="008069F9"/>
    <w:rsid w:val="00806A1F"/>
    <w:rsid w:val="00806F99"/>
    <w:rsid w:val="00807025"/>
    <w:rsid w:val="00807093"/>
    <w:rsid w:val="0080719F"/>
    <w:rsid w:val="00807899"/>
    <w:rsid w:val="00807B18"/>
    <w:rsid w:val="00807BA7"/>
    <w:rsid w:val="00807BCF"/>
    <w:rsid w:val="00807CCE"/>
    <w:rsid w:val="00807E00"/>
    <w:rsid w:val="00810136"/>
    <w:rsid w:val="00810240"/>
    <w:rsid w:val="008102A8"/>
    <w:rsid w:val="00810322"/>
    <w:rsid w:val="0081051F"/>
    <w:rsid w:val="00810C7B"/>
    <w:rsid w:val="00811041"/>
    <w:rsid w:val="008116F7"/>
    <w:rsid w:val="00811EE5"/>
    <w:rsid w:val="008124F6"/>
    <w:rsid w:val="0081254A"/>
    <w:rsid w:val="0081257B"/>
    <w:rsid w:val="00812E0F"/>
    <w:rsid w:val="00813914"/>
    <w:rsid w:val="00813AD4"/>
    <w:rsid w:val="00813AEA"/>
    <w:rsid w:val="00814434"/>
    <w:rsid w:val="0081452D"/>
    <w:rsid w:val="00814B62"/>
    <w:rsid w:val="00814FCB"/>
    <w:rsid w:val="008153D2"/>
    <w:rsid w:val="00815468"/>
    <w:rsid w:val="008155FD"/>
    <w:rsid w:val="00815A70"/>
    <w:rsid w:val="00815F81"/>
    <w:rsid w:val="00815FD2"/>
    <w:rsid w:val="0081645C"/>
    <w:rsid w:val="008167F3"/>
    <w:rsid w:val="00816BF7"/>
    <w:rsid w:val="00816C1A"/>
    <w:rsid w:val="00816D71"/>
    <w:rsid w:val="008170B4"/>
    <w:rsid w:val="0081712F"/>
    <w:rsid w:val="0081742F"/>
    <w:rsid w:val="00817BF6"/>
    <w:rsid w:val="00820132"/>
    <w:rsid w:val="0082030B"/>
    <w:rsid w:val="008209EE"/>
    <w:rsid w:val="00820ED7"/>
    <w:rsid w:val="008212A8"/>
    <w:rsid w:val="0082193E"/>
    <w:rsid w:val="00821E4F"/>
    <w:rsid w:val="00822005"/>
    <w:rsid w:val="00822312"/>
    <w:rsid w:val="00822670"/>
    <w:rsid w:val="00822776"/>
    <w:rsid w:val="00822ABB"/>
    <w:rsid w:val="0082315E"/>
    <w:rsid w:val="00824AE8"/>
    <w:rsid w:val="00825362"/>
    <w:rsid w:val="00825A94"/>
    <w:rsid w:val="00825FCA"/>
    <w:rsid w:val="008261EA"/>
    <w:rsid w:val="0082625F"/>
    <w:rsid w:val="00826295"/>
    <w:rsid w:val="008277B4"/>
    <w:rsid w:val="00827DE0"/>
    <w:rsid w:val="0083052E"/>
    <w:rsid w:val="00830AD3"/>
    <w:rsid w:val="00830D4A"/>
    <w:rsid w:val="00831322"/>
    <w:rsid w:val="008313B6"/>
    <w:rsid w:val="008315D3"/>
    <w:rsid w:val="008316ED"/>
    <w:rsid w:val="00831887"/>
    <w:rsid w:val="00831C10"/>
    <w:rsid w:val="00832140"/>
    <w:rsid w:val="00832625"/>
    <w:rsid w:val="00832729"/>
    <w:rsid w:val="00832F2E"/>
    <w:rsid w:val="00833242"/>
    <w:rsid w:val="00833A12"/>
    <w:rsid w:val="00833AE9"/>
    <w:rsid w:val="00833C7D"/>
    <w:rsid w:val="00833E51"/>
    <w:rsid w:val="0083449E"/>
    <w:rsid w:val="008348EF"/>
    <w:rsid w:val="00834AE5"/>
    <w:rsid w:val="00834BCC"/>
    <w:rsid w:val="008350F3"/>
    <w:rsid w:val="00835286"/>
    <w:rsid w:val="0083528E"/>
    <w:rsid w:val="008355E2"/>
    <w:rsid w:val="008356BB"/>
    <w:rsid w:val="0083580D"/>
    <w:rsid w:val="00835876"/>
    <w:rsid w:val="00835CAB"/>
    <w:rsid w:val="00835F2F"/>
    <w:rsid w:val="0083606A"/>
    <w:rsid w:val="00836493"/>
    <w:rsid w:val="0083677D"/>
    <w:rsid w:val="00836EEB"/>
    <w:rsid w:val="0083702E"/>
    <w:rsid w:val="0083729D"/>
    <w:rsid w:val="008377CE"/>
    <w:rsid w:val="008404B3"/>
    <w:rsid w:val="00840549"/>
    <w:rsid w:val="008405EF"/>
    <w:rsid w:val="00840A2E"/>
    <w:rsid w:val="00840DFD"/>
    <w:rsid w:val="00840FDF"/>
    <w:rsid w:val="00841145"/>
    <w:rsid w:val="00841275"/>
    <w:rsid w:val="00841317"/>
    <w:rsid w:val="00841796"/>
    <w:rsid w:val="00841A6C"/>
    <w:rsid w:val="00841D66"/>
    <w:rsid w:val="00842118"/>
    <w:rsid w:val="0084228D"/>
    <w:rsid w:val="0084268D"/>
    <w:rsid w:val="00842A14"/>
    <w:rsid w:val="00842ADA"/>
    <w:rsid w:val="00842B7E"/>
    <w:rsid w:val="00842FAE"/>
    <w:rsid w:val="00843B44"/>
    <w:rsid w:val="00843FEB"/>
    <w:rsid w:val="00844147"/>
    <w:rsid w:val="0084422C"/>
    <w:rsid w:val="00844300"/>
    <w:rsid w:val="0084435D"/>
    <w:rsid w:val="0084466B"/>
    <w:rsid w:val="00844B26"/>
    <w:rsid w:val="00844B44"/>
    <w:rsid w:val="0084574C"/>
    <w:rsid w:val="008459EE"/>
    <w:rsid w:val="00845D5B"/>
    <w:rsid w:val="008465B4"/>
    <w:rsid w:val="00846B53"/>
    <w:rsid w:val="00846F45"/>
    <w:rsid w:val="00846F76"/>
    <w:rsid w:val="0084713F"/>
    <w:rsid w:val="00847A12"/>
    <w:rsid w:val="00847C56"/>
    <w:rsid w:val="00850A46"/>
    <w:rsid w:val="008511C9"/>
    <w:rsid w:val="008515E8"/>
    <w:rsid w:val="00851EA6"/>
    <w:rsid w:val="008527DF"/>
    <w:rsid w:val="00852994"/>
    <w:rsid w:val="00852A11"/>
    <w:rsid w:val="00852DD2"/>
    <w:rsid w:val="00853994"/>
    <w:rsid w:val="00853F9F"/>
    <w:rsid w:val="008542E4"/>
    <w:rsid w:val="00854B28"/>
    <w:rsid w:val="00855303"/>
    <w:rsid w:val="0085559B"/>
    <w:rsid w:val="0085595F"/>
    <w:rsid w:val="00855A74"/>
    <w:rsid w:val="00855FAB"/>
    <w:rsid w:val="0085656F"/>
    <w:rsid w:val="008568A3"/>
    <w:rsid w:val="00856938"/>
    <w:rsid w:val="00856980"/>
    <w:rsid w:val="00856CB1"/>
    <w:rsid w:val="008572C9"/>
    <w:rsid w:val="00857347"/>
    <w:rsid w:val="00857924"/>
    <w:rsid w:val="00857BA6"/>
    <w:rsid w:val="00860A49"/>
    <w:rsid w:val="00860CF0"/>
    <w:rsid w:val="00860E68"/>
    <w:rsid w:val="00860E7D"/>
    <w:rsid w:val="00863628"/>
    <w:rsid w:val="00863971"/>
    <w:rsid w:val="00863B55"/>
    <w:rsid w:val="0086422C"/>
    <w:rsid w:val="0086441D"/>
    <w:rsid w:val="00864B14"/>
    <w:rsid w:val="00864C96"/>
    <w:rsid w:val="00864F3A"/>
    <w:rsid w:val="00864FD2"/>
    <w:rsid w:val="00865134"/>
    <w:rsid w:val="008654F6"/>
    <w:rsid w:val="00865630"/>
    <w:rsid w:val="00865B6C"/>
    <w:rsid w:val="00865FAC"/>
    <w:rsid w:val="00866A92"/>
    <w:rsid w:val="00866BF6"/>
    <w:rsid w:val="00866F41"/>
    <w:rsid w:val="00867488"/>
    <w:rsid w:val="00867657"/>
    <w:rsid w:val="00867E13"/>
    <w:rsid w:val="008703F8"/>
    <w:rsid w:val="008707DB"/>
    <w:rsid w:val="00870BB7"/>
    <w:rsid w:val="008710EB"/>
    <w:rsid w:val="0087111E"/>
    <w:rsid w:val="008711D3"/>
    <w:rsid w:val="0087124C"/>
    <w:rsid w:val="0087192C"/>
    <w:rsid w:val="008725D3"/>
    <w:rsid w:val="00872E71"/>
    <w:rsid w:val="008731B0"/>
    <w:rsid w:val="00873442"/>
    <w:rsid w:val="00873D8A"/>
    <w:rsid w:val="00873FFA"/>
    <w:rsid w:val="0087428A"/>
    <w:rsid w:val="0087496B"/>
    <w:rsid w:val="00874A2D"/>
    <w:rsid w:val="00874ADD"/>
    <w:rsid w:val="00874F1F"/>
    <w:rsid w:val="00875487"/>
    <w:rsid w:val="008759DC"/>
    <w:rsid w:val="00875D34"/>
    <w:rsid w:val="00876138"/>
    <w:rsid w:val="0087654B"/>
    <w:rsid w:val="00876C3F"/>
    <w:rsid w:val="0087748B"/>
    <w:rsid w:val="008774C7"/>
    <w:rsid w:val="00877774"/>
    <w:rsid w:val="008777FE"/>
    <w:rsid w:val="008778A1"/>
    <w:rsid w:val="00877E1A"/>
    <w:rsid w:val="00877EEB"/>
    <w:rsid w:val="008806B6"/>
    <w:rsid w:val="00881581"/>
    <w:rsid w:val="0088186D"/>
    <w:rsid w:val="00881FF1"/>
    <w:rsid w:val="0088228B"/>
    <w:rsid w:val="0088273B"/>
    <w:rsid w:val="008829ED"/>
    <w:rsid w:val="00883663"/>
    <w:rsid w:val="00883A1E"/>
    <w:rsid w:val="00883F90"/>
    <w:rsid w:val="0088438C"/>
    <w:rsid w:val="00884857"/>
    <w:rsid w:val="00884AA8"/>
    <w:rsid w:val="00884C27"/>
    <w:rsid w:val="00884F9E"/>
    <w:rsid w:val="008854D8"/>
    <w:rsid w:val="00885641"/>
    <w:rsid w:val="00885756"/>
    <w:rsid w:val="008858AF"/>
    <w:rsid w:val="00885F25"/>
    <w:rsid w:val="0088613E"/>
    <w:rsid w:val="00886B6D"/>
    <w:rsid w:val="00886DEC"/>
    <w:rsid w:val="008870D2"/>
    <w:rsid w:val="00887220"/>
    <w:rsid w:val="008872AE"/>
    <w:rsid w:val="00887603"/>
    <w:rsid w:val="008902C1"/>
    <w:rsid w:val="00890438"/>
    <w:rsid w:val="00890492"/>
    <w:rsid w:val="008906A2"/>
    <w:rsid w:val="00890983"/>
    <w:rsid w:val="00890D2B"/>
    <w:rsid w:val="00892407"/>
    <w:rsid w:val="008927AB"/>
    <w:rsid w:val="008928DC"/>
    <w:rsid w:val="00892940"/>
    <w:rsid w:val="00892A67"/>
    <w:rsid w:val="00892B88"/>
    <w:rsid w:val="00892D26"/>
    <w:rsid w:val="00892DA7"/>
    <w:rsid w:val="00892F0C"/>
    <w:rsid w:val="00893011"/>
    <w:rsid w:val="0089307C"/>
    <w:rsid w:val="008933A4"/>
    <w:rsid w:val="00893B40"/>
    <w:rsid w:val="00893BC7"/>
    <w:rsid w:val="0089408E"/>
    <w:rsid w:val="008941D7"/>
    <w:rsid w:val="008943FC"/>
    <w:rsid w:val="00894683"/>
    <w:rsid w:val="008949ED"/>
    <w:rsid w:val="00894F01"/>
    <w:rsid w:val="008952CB"/>
    <w:rsid w:val="00895315"/>
    <w:rsid w:val="0089584E"/>
    <w:rsid w:val="008961A6"/>
    <w:rsid w:val="00896313"/>
    <w:rsid w:val="0089631B"/>
    <w:rsid w:val="00896850"/>
    <w:rsid w:val="00896C4F"/>
    <w:rsid w:val="00896D66"/>
    <w:rsid w:val="00897919"/>
    <w:rsid w:val="008A0FAE"/>
    <w:rsid w:val="008A147F"/>
    <w:rsid w:val="008A1A4A"/>
    <w:rsid w:val="008A2897"/>
    <w:rsid w:val="008A289D"/>
    <w:rsid w:val="008A293D"/>
    <w:rsid w:val="008A33FD"/>
    <w:rsid w:val="008A3422"/>
    <w:rsid w:val="008A35AF"/>
    <w:rsid w:val="008A38B7"/>
    <w:rsid w:val="008A3BDD"/>
    <w:rsid w:val="008A3E61"/>
    <w:rsid w:val="008A3F36"/>
    <w:rsid w:val="008A4209"/>
    <w:rsid w:val="008A43DC"/>
    <w:rsid w:val="008A4EAE"/>
    <w:rsid w:val="008A5336"/>
    <w:rsid w:val="008A53BD"/>
    <w:rsid w:val="008A5531"/>
    <w:rsid w:val="008A5C56"/>
    <w:rsid w:val="008A5F24"/>
    <w:rsid w:val="008A6169"/>
    <w:rsid w:val="008A64F8"/>
    <w:rsid w:val="008A6EB0"/>
    <w:rsid w:val="008A7062"/>
    <w:rsid w:val="008A71C8"/>
    <w:rsid w:val="008A76FE"/>
    <w:rsid w:val="008A785D"/>
    <w:rsid w:val="008A7C9D"/>
    <w:rsid w:val="008A7E49"/>
    <w:rsid w:val="008B00C3"/>
    <w:rsid w:val="008B0696"/>
    <w:rsid w:val="008B0970"/>
    <w:rsid w:val="008B0C8B"/>
    <w:rsid w:val="008B146A"/>
    <w:rsid w:val="008B17A9"/>
    <w:rsid w:val="008B18EF"/>
    <w:rsid w:val="008B1BA5"/>
    <w:rsid w:val="008B1DFC"/>
    <w:rsid w:val="008B225D"/>
    <w:rsid w:val="008B250F"/>
    <w:rsid w:val="008B299C"/>
    <w:rsid w:val="008B2CE4"/>
    <w:rsid w:val="008B2E90"/>
    <w:rsid w:val="008B2F15"/>
    <w:rsid w:val="008B3FE4"/>
    <w:rsid w:val="008B497C"/>
    <w:rsid w:val="008B5593"/>
    <w:rsid w:val="008B55AA"/>
    <w:rsid w:val="008B5F7D"/>
    <w:rsid w:val="008B6002"/>
    <w:rsid w:val="008B6324"/>
    <w:rsid w:val="008B6723"/>
    <w:rsid w:val="008B6E16"/>
    <w:rsid w:val="008B6EE2"/>
    <w:rsid w:val="008B71C7"/>
    <w:rsid w:val="008B76A0"/>
    <w:rsid w:val="008B78AB"/>
    <w:rsid w:val="008C1201"/>
    <w:rsid w:val="008C12D4"/>
    <w:rsid w:val="008C164E"/>
    <w:rsid w:val="008C174A"/>
    <w:rsid w:val="008C184E"/>
    <w:rsid w:val="008C241E"/>
    <w:rsid w:val="008C27B8"/>
    <w:rsid w:val="008C2E96"/>
    <w:rsid w:val="008C3775"/>
    <w:rsid w:val="008C3CD3"/>
    <w:rsid w:val="008C3FE5"/>
    <w:rsid w:val="008C4089"/>
    <w:rsid w:val="008C4425"/>
    <w:rsid w:val="008C55A1"/>
    <w:rsid w:val="008C55D3"/>
    <w:rsid w:val="008C56CF"/>
    <w:rsid w:val="008C5B0F"/>
    <w:rsid w:val="008C5E7E"/>
    <w:rsid w:val="008C60B4"/>
    <w:rsid w:val="008C64AB"/>
    <w:rsid w:val="008C785B"/>
    <w:rsid w:val="008C7BFB"/>
    <w:rsid w:val="008C7C34"/>
    <w:rsid w:val="008D00D1"/>
    <w:rsid w:val="008D01CD"/>
    <w:rsid w:val="008D06F0"/>
    <w:rsid w:val="008D0E19"/>
    <w:rsid w:val="008D0E49"/>
    <w:rsid w:val="008D1342"/>
    <w:rsid w:val="008D148B"/>
    <w:rsid w:val="008D149F"/>
    <w:rsid w:val="008D1B1E"/>
    <w:rsid w:val="008D1C29"/>
    <w:rsid w:val="008D1DC8"/>
    <w:rsid w:val="008D1E9E"/>
    <w:rsid w:val="008D2B15"/>
    <w:rsid w:val="008D2CBC"/>
    <w:rsid w:val="008D36F6"/>
    <w:rsid w:val="008D3C5F"/>
    <w:rsid w:val="008D4035"/>
    <w:rsid w:val="008D479F"/>
    <w:rsid w:val="008D4965"/>
    <w:rsid w:val="008D4CA0"/>
    <w:rsid w:val="008D5343"/>
    <w:rsid w:val="008D53B3"/>
    <w:rsid w:val="008D5CD5"/>
    <w:rsid w:val="008D60D7"/>
    <w:rsid w:val="008D617A"/>
    <w:rsid w:val="008D683C"/>
    <w:rsid w:val="008D6B01"/>
    <w:rsid w:val="008D6C3B"/>
    <w:rsid w:val="008D7321"/>
    <w:rsid w:val="008D78BF"/>
    <w:rsid w:val="008D79BE"/>
    <w:rsid w:val="008D7CD8"/>
    <w:rsid w:val="008D7F0B"/>
    <w:rsid w:val="008D7F21"/>
    <w:rsid w:val="008D7F53"/>
    <w:rsid w:val="008E0171"/>
    <w:rsid w:val="008E0742"/>
    <w:rsid w:val="008E07FD"/>
    <w:rsid w:val="008E0C9C"/>
    <w:rsid w:val="008E0D46"/>
    <w:rsid w:val="008E0D9D"/>
    <w:rsid w:val="008E0F45"/>
    <w:rsid w:val="008E1566"/>
    <w:rsid w:val="008E16A8"/>
    <w:rsid w:val="008E1926"/>
    <w:rsid w:val="008E1B43"/>
    <w:rsid w:val="008E1BEF"/>
    <w:rsid w:val="008E1E5D"/>
    <w:rsid w:val="008E210B"/>
    <w:rsid w:val="008E2255"/>
    <w:rsid w:val="008E2289"/>
    <w:rsid w:val="008E2838"/>
    <w:rsid w:val="008E2D27"/>
    <w:rsid w:val="008E34D3"/>
    <w:rsid w:val="008E361D"/>
    <w:rsid w:val="008E363E"/>
    <w:rsid w:val="008E3879"/>
    <w:rsid w:val="008E3AA1"/>
    <w:rsid w:val="008E3F45"/>
    <w:rsid w:val="008E415B"/>
    <w:rsid w:val="008E452F"/>
    <w:rsid w:val="008E50CB"/>
    <w:rsid w:val="008E5144"/>
    <w:rsid w:val="008E5373"/>
    <w:rsid w:val="008E548F"/>
    <w:rsid w:val="008E5576"/>
    <w:rsid w:val="008E5C64"/>
    <w:rsid w:val="008E6BBE"/>
    <w:rsid w:val="008E6CD6"/>
    <w:rsid w:val="008E6D62"/>
    <w:rsid w:val="008E6F7B"/>
    <w:rsid w:val="008E7360"/>
    <w:rsid w:val="008F0181"/>
    <w:rsid w:val="008F03FC"/>
    <w:rsid w:val="008F04B1"/>
    <w:rsid w:val="008F073D"/>
    <w:rsid w:val="008F07C1"/>
    <w:rsid w:val="008F0AF9"/>
    <w:rsid w:val="008F0CFA"/>
    <w:rsid w:val="008F10DA"/>
    <w:rsid w:val="008F11F6"/>
    <w:rsid w:val="008F1603"/>
    <w:rsid w:val="008F19AC"/>
    <w:rsid w:val="008F1C9A"/>
    <w:rsid w:val="008F1E01"/>
    <w:rsid w:val="008F2105"/>
    <w:rsid w:val="008F2773"/>
    <w:rsid w:val="008F289C"/>
    <w:rsid w:val="008F2F35"/>
    <w:rsid w:val="008F3453"/>
    <w:rsid w:val="008F3D23"/>
    <w:rsid w:val="008F3DF8"/>
    <w:rsid w:val="008F43D2"/>
    <w:rsid w:val="008F4479"/>
    <w:rsid w:val="008F455C"/>
    <w:rsid w:val="008F4AE1"/>
    <w:rsid w:val="008F50B7"/>
    <w:rsid w:val="008F57E5"/>
    <w:rsid w:val="008F5C0F"/>
    <w:rsid w:val="008F5CF7"/>
    <w:rsid w:val="008F6632"/>
    <w:rsid w:val="008F669B"/>
    <w:rsid w:val="008F669D"/>
    <w:rsid w:val="008F6754"/>
    <w:rsid w:val="008F6A7B"/>
    <w:rsid w:val="008F6B4F"/>
    <w:rsid w:val="008F6C5E"/>
    <w:rsid w:val="008F6D66"/>
    <w:rsid w:val="008F6DC3"/>
    <w:rsid w:val="008F6DE1"/>
    <w:rsid w:val="008F6F40"/>
    <w:rsid w:val="008F771A"/>
    <w:rsid w:val="008F7793"/>
    <w:rsid w:val="008F7A8F"/>
    <w:rsid w:val="008F7F2A"/>
    <w:rsid w:val="00900438"/>
    <w:rsid w:val="009005C5"/>
    <w:rsid w:val="00901007"/>
    <w:rsid w:val="009010D8"/>
    <w:rsid w:val="00901269"/>
    <w:rsid w:val="0090146F"/>
    <w:rsid w:val="009014CE"/>
    <w:rsid w:val="0090209D"/>
    <w:rsid w:val="009023CF"/>
    <w:rsid w:val="00902905"/>
    <w:rsid w:val="00902CB3"/>
    <w:rsid w:val="00902F9C"/>
    <w:rsid w:val="00903307"/>
    <w:rsid w:val="009033B3"/>
    <w:rsid w:val="009037B9"/>
    <w:rsid w:val="0090388A"/>
    <w:rsid w:val="009041AA"/>
    <w:rsid w:val="00904AFC"/>
    <w:rsid w:val="00904FEC"/>
    <w:rsid w:val="00905AE1"/>
    <w:rsid w:val="00906097"/>
    <w:rsid w:val="0090617F"/>
    <w:rsid w:val="009063A2"/>
    <w:rsid w:val="009066DC"/>
    <w:rsid w:val="00906ACB"/>
    <w:rsid w:val="009072C7"/>
    <w:rsid w:val="009075F9"/>
    <w:rsid w:val="00907927"/>
    <w:rsid w:val="00907B6C"/>
    <w:rsid w:val="00907EA3"/>
    <w:rsid w:val="009105A1"/>
    <w:rsid w:val="00910870"/>
    <w:rsid w:val="00910BB2"/>
    <w:rsid w:val="00910C7A"/>
    <w:rsid w:val="00910E53"/>
    <w:rsid w:val="00911262"/>
    <w:rsid w:val="009115A8"/>
    <w:rsid w:val="00911758"/>
    <w:rsid w:val="00911A9E"/>
    <w:rsid w:val="00911B66"/>
    <w:rsid w:val="009121BB"/>
    <w:rsid w:val="00912A7D"/>
    <w:rsid w:val="00912A91"/>
    <w:rsid w:val="00912C8D"/>
    <w:rsid w:val="009130C9"/>
    <w:rsid w:val="009132A7"/>
    <w:rsid w:val="009134C2"/>
    <w:rsid w:val="009134F7"/>
    <w:rsid w:val="0091355E"/>
    <w:rsid w:val="009135BC"/>
    <w:rsid w:val="0091389D"/>
    <w:rsid w:val="0091395A"/>
    <w:rsid w:val="00913979"/>
    <w:rsid w:val="00913FB9"/>
    <w:rsid w:val="00914423"/>
    <w:rsid w:val="00914872"/>
    <w:rsid w:val="009148AC"/>
    <w:rsid w:val="00914CFA"/>
    <w:rsid w:val="009152A8"/>
    <w:rsid w:val="009157AE"/>
    <w:rsid w:val="00915A3F"/>
    <w:rsid w:val="009160B1"/>
    <w:rsid w:val="009160C9"/>
    <w:rsid w:val="009165E9"/>
    <w:rsid w:val="009165EF"/>
    <w:rsid w:val="00916718"/>
    <w:rsid w:val="00916836"/>
    <w:rsid w:val="00916929"/>
    <w:rsid w:val="00916AE5"/>
    <w:rsid w:val="00916F5E"/>
    <w:rsid w:val="00917178"/>
    <w:rsid w:val="009171BC"/>
    <w:rsid w:val="00917406"/>
    <w:rsid w:val="00917904"/>
    <w:rsid w:val="00920849"/>
    <w:rsid w:val="00920F0D"/>
    <w:rsid w:val="0092103D"/>
    <w:rsid w:val="0092143A"/>
    <w:rsid w:val="0092144E"/>
    <w:rsid w:val="009215DD"/>
    <w:rsid w:val="009217A0"/>
    <w:rsid w:val="00922102"/>
    <w:rsid w:val="00922177"/>
    <w:rsid w:val="00922E0F"/>
    <w:rsid w:val="00922F92"/>
    <w:rsid w:val="009231FF"/>
    <w:rsid w:val="009234A9"/>
    <w:rsid w:val="0092359D"/>
    <w:rsid w:val="009236C7"/>
    <w:rsid w:val="00923802"/>
    <w:rsid w:val="00923B05"/>
    <w:rsid w:val="00923FCF"/>
    <w:rsid w:val="009242CA"/>
    <w:rsid w:val="00924902"/>
    <w:rsid w:val="00924CC1"/>
    <w:rsid w:val="00925EDD"/>
    <w:rsid w:val="00925F7E"/>
    <w:rsid w:val="0092610F"/>
    <w:rsid w:val="0092626B"/>
    <w:rsid w:val="0092665D"/>
    <w:rsid w:val="0092672E"/>
    <w:rsid w:val="00926946"/>
    <w:rsid w:val="00926CA9"/>
    <w:rsid w:val="00927FD8"/>
    <w:rsid w:val="00930A39"/>
    <w:rsid w:val="00930BF9"/>
    <w:rsid w:val="00930DC3"/>
    <w:rsid w:val="0093102B"/>
    <w:rsid w:val="00931119"/>
    <w:rsid w:val="00931417"/>
    <w:rsid w:val="0093176B"/>
    <w:rsid w:val="00931845"/>
    <w:rsid w:val="00931AE9"/>
    <w:rsid w:val="00931B71"/>
    <w:rsid w:val="00931D5B"/>
    <w:rsid w:val="0093204A"/>
    <w:rsid w:val="009322C3"/>
    <w:rsid w:val="00932659"/>
    <w:rsid w:val="00932810"/>
    <w:rsid w:val="00932B70"/>
    <w:rsid w:val="009330CB"/>
    <w:rsid w:val="00933294"/>
    <w:rsid w:val="009337AA"/>
    <w:rsid w:val="009339B2"/>
    <w:rsid w:val="00933E5E"/>
    <w:rsid w:val="009346F0"/>
    <w:rsid w:val="00934B5F"/>
    <w:rsid w:val="009351D6"/>
    <w:rsid w:val="00935528"/>
    <w:rsid w:val="00935866"/>
    <w:rsid w:val="009358B5"/>
    <w:rsid w:val="009359F5"/>
    <w:rsid w:val="00935E98"/>
    <w:rsid w:val="009362A0"/>
    <w:rsid w:val="0093678E"/>
    <w:rsid w:val="00936AD5"/>
    <w:rsid w:val="00936FC8"/>
    <w:rsid w:val="00937400"/>
    <w:rsid w:val="00937565"/>
    <w:rsid w:val="00937641"/>
    <w:rsid w:val="00940020"/>
    <w:rsid w:val="00940275"/>
    <w:rsid w:val="00940799"/>
    <w:rsid w:val="0094097A"/>
    <w:rsid w:val="00940EF8"/>
    <w:rsid w:val="0094147A"/>
    <w:rsid w:val="009418BD"/>
    <w:rsid w:val="009418C8"/>
    <w:rsid w:val="00941925"/>
    <w:rsid w:val="00941D60"/>
    <w:rsid w:val="009428C5"/>
    <w:rsid w:val="00942CF2"/>
    <w:rsid w:val="00943160"/>
    <w:rsid w:val="009432FB"/>
    <w:rsid w:val="009432FE"/>
    <w:rsid w:val="009434CE"/>
    <w:rsid w:val="009437B9"/>
    <w:rsid w:val="00943942"/>
    <w:rsid w:val="00943AD5"/>
    <w:rsid w:val="00943BFC"/>
    <w:rsid w:val="00943D40"/>
    <w:rsid w:val="00943DE3"/>
    <w:rsid w:val="009442DB"/>
    <w:rsid w:val="0094458F"/>
    <w:rsid w:val="009446A2"/>
    <w:rsid w:val="00944C2C"/>
    <w:rsid w:val="009451BE"/>
    <w:rsid w:val="00945389"/>
    <w:rsid w:val="009459A2"/>
    <w:rsid w:val="00945B30"/>
    <w:rsid w:val="00945B93"/>
    <w:rsid w:val="00945C27"/>
    <w:rsid w:val="00945EFC"/>
    <w:rsid w:val="00946122"/>
    <w:rsid w:val="00946597"/>
    <w:rsid w:val="0094680A"/>
    <w:rsid w:val="00946942"/>
    <w:rsid w:val="00947416"/>
    <w:rsid w:val="00947542"/>
    <w:rsid w:val="00947582"/>
    <w:rsid w:val="0094759C"/>
    <w:rsid w:val="009479F5"/>
    <w:rsid w:val="00947C2A"/>
    <w:rsid w:val="00947F17"/>
    <w:rsid w:val="0095011D"/>
    <w:rsid w:val="0095023A"/>
    <w:rsid w:val="00950D16"/>
    <w:rsid w:val="00950FF2"/>
    <w:rsid w:val="00951535"/>
    <w:rsid w:val="00951B32"/>
    <w:rsid w:val="00951EB3"/>
    <w:rsid w:val="0095239B"/>
    <w:rsid w:val="0095315F"/>
    <w:rsid w:val="00953566"/>
    <w:rsid w:val="00953752"/>
    <w:rsid w:val="00953EC6"/>
    <w:rsid w:val="00953F4F"/>
    <w:rsid w:val="00954001"/>
    <w:rsid w:val="00954099"/>
    <w:rsid w:val="0095449D"/>
    <w:rsid w:val="0095459A"/>
    <w:rsid w:val="009546E0"/>
    <w:rsid w:val="00954BA2"/>
    <w:rsid w:val="00954C03"/>
    <w:rsid w:val="00954C2F"/>
    <w:rsid w:val="0095533A"/>
    <w:rsid w:val="009555CF"/>
    <w:rsid w:val="009557B6"/>
    <w:rsid w:val="00955876"/>
    <w:rsid w:val="00955A52"/>
    <w:rsid w:val="00955C0E"/>
    <w:rsid w:val="00956490"/>
    <w:rsid w:val="0095653A"/>
    <w:rsid w:val="00956737"/>
    <w:rsid w:val="009568D5"/>
    <w:rsid w:val="00957107"/>
    <w:rsid w:val="00957270"/>
    <w:rsid w:val="0095778F"/>
    <w:rsid w:val="00957D4A"/>
    <w:rsid w:val="00957D65"/>
    <w:rsid w:val="00957D80"/>
    <w:rsid w:val="00957E0C"/>
    <w:rsid w:val="00957EEA"/>
    <w:rsid w:val="00957FBB"/>
    <w:rsid w:val="00957FFB"/>
    <w:rsid w:val="0096002E"/>
    <w:rsid w:val="00960834"/>
    <w:rsid w:val="00960A09"/>
    <w:rsid w:val="00960A49"/>
    <w:rsid w:val="00960F74"/>
    <w:rsid w:val="0096162B"/>
    <w:rsid w:val="00961A12"/>
    <w:rsid w:val="00961F1F"/>
    <w:rsid w:val="009622E1"/>
    <w:rsid w:val="00962453"/>
    <w:rsid w:val="0096313F"/>
    <w:rsid w:val="009631F9"/>
    <w:rsid w:val="0096330F"/>
    <w:rsid w:val="009634FD"/>
    <w:rsid w:val="009637C8"/>
    <w:rsid w:val="009638B4"/>
    <w:rsid w:val="009639D2"/>
    <w:rsid w:val="009639DD"/>
    <w:rsid w:val="00963A20"/>
    <w:rsid w:val="00963B30"/>
    <w:rsid w:val="00963B8D"/>
    <w:rsid w:val="00963EA5"/>
    <w:rsid w:val="00963F95"/>
    <w:rsid w:val="00964222"/>
    <w:rsid w:val="00964346"/>
    <w:rsid w:val="009643F9"/>
    <w:rsid w:val="0096487B"/>
    <w:rsid w:val="00964B56"/>
    <w:rsid w:val="00964E6B"/>
    <w:rsid w:val="009652A0"/>
    <w:rsid w:val="009655E9"/>
    <w:rsid w:val="00965716"/>
    <w:rsid w:val="00965770"/>
    <w:rsid w:val="00965872"/>
    <w:rsid w:val="00965DE2"/>
    <w:rsid w:val="00966711"/>
    <w:rsid w:val="00966AB2"/>
    <w:rsid w:val="00966DAD"/>
    <w:rsid w:val="0096700C"/>
    <w:rsid w:val="009676BA"/>
    <w:rsid w:val="00967840"/>
    <w:rsid w:val="00967910"/>
    <w:rsid w:val="00967BE5"/>
    <w:rsid w:val="0096A371"/>
    <w:rsid w:val="009700FD"/>
    <w:rsid w:val="00970683"/>
    <w:rsid w:val="00970867"/>
    <w:rsid w:val="00970D44"/>
    <w:rsid w:val="00970E4C"/>
    <w:rsid w:val="00970ED3"/>
    <w:rsid w:val="00971454"/>
    <w:rsid w:val="00971DA8"/>
    <w:rsid w:val="00971E80"/>
    <w:rsid w:val="00971EAD"/>
    <w:rsid w:val="00971F74"/>
    <w:rsid w:val="0097206F"/>
    <w:rsid w:val="00972849"/>
    <w:rsid w:val="00972896"/>
    <w:rsid w:val="009728B2"/>
    <w:rsid w:val="00972E9F"/>
    <w:rsid w:val="009737DD"/>
    <w:rsid w:val="0097385D"/>
    <w:rsid w:val="0097452C"/>
    <w:rsid w:val="00974835"/>
    <w:rsid w:val="00974AC8"/>
    <w:rsid w:val="00974CCA"/>
    <w:rsid w:val="00974E02"/>
    <w:rsid w:val="009750DC"/>
    <w:rsid w:val="009756D2"/>
    <w:rsid w:val="00975B02"/>
    <w:rsid w:val="00975FC0"/>
    <w:rsid w:val="009763C4"/>
    <w:rsid w:val="009766DC"/>
    <w:rsid w:val="009776C6"/>
    <w:rsid w:val="0097781C"/>
    <w:rsid w:val="0097792E"/>
    <w:rsid w:val="0097793F"/>
    <w:rsid w:val="009779B2"/>
    <w:rsid w:val="009806F0"/>
    <w:rsid w:val="00980B79"/>
    <w:rsid w:val="009817DA"/>
    <w:rsid w:val="00982001"/>
    <w:rsid w:val="009823A6"/>
    <w:rsid w:val="009825A3"/>
    <w:rsid w:val="00982CEF"/>
    <w:rsid w:val="00983364"/>
    <w:rsid w:val="009833F2"/>
    <w:rsid w:val="00983F8A"/>
    <w:rsid w:val="009840CF"/>
    <w:rsid w:val="00985108"/>
    <w:rsid w:val="009853F2"/>
    <w:rsid w:val="009855E3"/>
    <w:rsid w:val="009857BF"/>
    <w:rsid w:val="009861A5"/>
    <w:rsid w:val="009861AD"/>
    <w:rsid w:val="00986449"/>
    <w:rsid w:val="009867D8"/>
    <w:rsid w:val="0098694E"/>
    <w:rsid w:val="00987131"/>
    <w:rsid w:val="009872B0"/>
    <w:rsid w:val="00987CF2"/>
    <w:rsid w:val="0099019C"/>
    <w:rsid w:val="00990A07"/>
    <w:rsid w:val="00990A1E"/>
    <w:rsid w:val="00990C19"/>
    <w:rsid w:val="00990CCB"/>
    <w:rsid w:val="00991150"/>
    <w:rsid w:val="009916B9"/>
    <w:rsid w:val="00991998"/>
    <w:rsid w:val="00991C0C"/>
    <w:rsid w:val="00991E9B"/>
    <w:rsid w:val="00992103"/>
    <w:rsid w:val="009926C3"/>
    <w:rsid w:val="00992767"/>
    <w:rsid w:val="00992A3D"/>
    <w:rsid w:val="009931C2"/>
    <w:rsid w:val="009932B8"/>
    <w:rsid w:val="0099394D"/>
    <w:rsid w:val="00993950"/>
    <w:rsid w:val="00993ED0"/>
    <w:rsid w:val="00993F37"/>
    <w:rsid w:val="00993FB0"/>
    <w:rsid w:val="009942E6"/>
    <w:rsid w:val="00994384"/>
    <w:rsid w:val="00994611"/>
    <w:rsid w:val="00994960"/>
    <w:rsid w:val="00994D08"/>
    <w:rsid w:val="00994FF3"/>
    <w:rsid w:val="00995818"/>
    <w:rsid w:val="0099593B"/>
    <w:rsid w:val="00995C91"/>
    <w:rsid w:val="00995E65"/>
    <w:rsid w:val="00995E6D"/>
    <w:rsid w:val="0099607A"/>
    <w:rsid w:val="00996952"/>
    <w:rsid w:val="00996C92"/>
    <w:rsid w:val="00997C0B"/>
    <w:rsid w:val="009A01DA"/>
    <w:rsid w:val="009A02CE"/>
    <w:rsid w:val="009A09FD"/>
    <w:rsid w:val="009A0C38"/>
    <w:rsid w:val="009A0EBD"/>
    <w:rsid w:val="009A101A"/>
    <w:rsid w:val="009A16BC"/>
    <w:rsid w:val="009A185E"/>
    <w:rsid w:val="009A1C08"/>
    <w:rsid w:val="009A1CB5"/>
    <w:rsid w:val="009A1D2A"/>
    <w:rsid w:val="009A2644"/>
    <w:rsid w:val="009A26EE"/>
    <w:rsid w:val="009A29FB"/>
    <w:rsid w:val="009A2B38"/>
    <w:rsid w:val="009A33C1"/>
    <w:rsid w:val="009A39AE"/>
    <w:rsid w:val="009A44CF"/>
    <w:rsid w:val="009A495F"/>
    <w:rsid w:val="009A4BC7"/>
    <w:rsid w:val="009A5307"/>
    <w:rsid w:val="009A5362"/>
    <w:rsid w:val="009A5747"/>
    <w:rsid w:val="009A5C26"/>
    <w:rsid w:val="009A5D2A"/>
    <w:rsid w:val="009A5DBC"/>
    <w:rsid w:val="009A6017"/>
    <w:rsid w:val="009A60CD"/>
    <w:rsid w:val="009A6135"/>
    <w:rsid w:val="009A62FA"/>
    <w:rsid w:val="009A641B"/>
    <w:rsid w:val="009A721D"/>
    <w:rsid w:val="009A726A"/>
    <w:rsid w:val="009B0546"/>
    <w:rsid w:val="009B0870"/>
    <w:rsid w:val="009B11E9"/>
    <w:rsid w:val="009B1948"/>
    <w:rsid w:val="009B1B73"/>
    <w:rsid w:val="009B1D91"/>
    <w:rsid w:val="009B1E75"/>
    <w:rsid w:val="009B23EA"/>
    <w:rsid w:val="009B23F7"/>
    <w:rsid w:val="009B2417"/>
    <w:rsid w:val="009B2525"/>
    <w:rsid w:val="009B28E3"/>
    <w:rsid w:val="009B2F79"/>
    <w:rsid w:val="009B302E"/>
    <w:rsid w:val="009B3B08"/>
    <w:rsid w:val="009B3D3A"/>
    <w:rsid w:val="009B43DC"/>
    <w:rsid w:val="009B4AC8"/>
    <w:rsid w:val="009B4B5C"/>
    <w:rsid w:val="009B4E56"/>
    <w:rsid w:val="009B4EDB"/>
    <w:rsid w:val="009B4F2B"/>
    <w:rsid w:val="009B54F3"/>
    <w:rsid w:val="009B5F01"/>
    <w:rsid w:val="009B6287"/>
    <w:rsid w:val="009B63E0"/>
    <w:rsid w:val="009B675F"/>
    <w:rsid w:val="009B67C1"/>
    <w:rsid w:val="009B7025"/>
    <w:rsid w:val="009B73BE"/>
    <w:rsid w:val="009B73DB"/>
    <w:rsid w:val="009B7C3E"/>
    <w:rsid w:val="009B7DC8"/>
    <w:rsid w:val="009C024E"/>
    <w:rsid w:val="009C03C0"/>
    <w:rsid w:val="009C062E"/>
    <w:rsid w:val="009C072A"/>
    <w:rsid w:val="009C08D6"/>
    <w:rsid w:val="009C138A"/>
    <w:rsid w:val="009C15D8"/>
    <w:rsid w:val="009C1E3A"/>
    <w:rsid w:val="009C2557"/>
    <w:rsid w:val="009C26D9"/>
    <w:rsid w:val="009C28B8"/>
    <w:rsid w:val="009C3417"/>
    <w:rsid w:val="009C3F64"/>
    <w:rsid w:val="009C408D"/>
    <w:rsid w:val="009C4228"/>
    <w:rsid w:val="009C511A"/>
    <w:rsid w:val="009C51A6"/>
    <w:rsid w:val="009C5467"/>
    <w:rsid w:val="009C5991"/>
    <w:rsid w:val="009C5A0F"/>
    <w:rsid w:val="009C635E"/>
    <w:rsid w:val="009C65FE"/>
    <w:rsid w:val="009C6D60"/>
    <w:rsid w:val="009C7095"/>
    <w:rsid w:val="009C73C8"/>
    <w:rsid w:val="009C7436"/>
    <w:rsid w:val="009C7533"/>
    <w:rsid w:val="009C7E98"/>
    <w:rsid w:val="009D00DF"/>
    <w:rsid w:val="009D0529"/>
    <w:rsid w:val="009D0799"/>
    <w:rsid w:val="009D07C0"/>
    <w:rsid w:val="009D1218"/>
    <w:rsid w:val="009D164E"/>
    <w:rsid w:val="009D191F"/>
    <w:rsid w:val="009D29C9"/>
    <w:rsid w:val="009D2B8A"/>
    <w:rsid w:val="009D327E"/>
    <w:rsid w:val="009D3445"/>
    <w:rsid w:val="009D37C9"/>
    <w:rsid w:val="009D3A6F"/>
    <w:rsid w:val="009D3C30"/>
    <w:rsid w:val="009D40FE"/>
    <w:rsid w:val="009D4138"/>
    <w:rsid w:val="009D46A7"/>
    <w:rsid w:val="009D4A0E"/>
    <w:rsid w:val="009D4F93"/>
    <w:rsid w:val="009D6470"/>
    <w:rsid w:val="009D6998"/>
    <w:rsid w:val="009D69B0"/>
    <w:rsid w:val="009D71F3"/>
    <w:rsid w:val="009D7266"/>
    <w:rsid w:val="009D7426"/>
    <w:rsid w:val="009D798B"/>
    <w:rsid w:val="009E0183"/>
    <w:rsid w:val="009E025D"/>
    <w:rsid w:val="009E0264"/>
    <w:rsid w:val="009E09E3"/>
    <w:rsid w:val="009E0B5C"/>
    <w:rsid w:val="009E1242"/>
    <w:rsid w:val="009E138A"/>
    <w:rsid w:val="009E145B"/>
    <w:rsid w:val="009E1667"/>
    <w:rsid w:val="009E1E98"/>
    <w:rsid w:val="009E27D7"/>
    <w:rsid w:val="009E3000"/>
    <w:rsid w:val="009E31EB"/>
    <w:rsid w:val="009E34EE"/>
    <w:rsid w:val="009E38FD"/>
    <w:rsid w:val="009E3BBC"/>
    <w:rsid w:val="009E3F98"/>
    <w:rsid w:val="009E440B"/>
    <w:rsid w:val="009E4F55"/>
    <w:rsid w:val="009E541A"/>
    <w:rsid w:val="009E545E"/>
    <w:rsid w:val="009E55EE"/>
    <w:rsid w:val="009E5748"/>
    <w:rsid w:val="009E62FC"/>
    <w:rsid w:val="009E65C2"/>
    <w:rsid w:val="009E6987"/>
    <w:rsid w:val="009E6AED"/>
    <w:rsid w:val="009E6E1B"/>
    <w:rsid w:val="009E716B"/>
    <w:rsid w:val="009E73EA"/>
    <w:rsid w:val="009E7550"/>
    <w:rsid w:val="009E75A4"/>
    <w:rsid w:val="009E7D2F"/>
    <w:rsid w:val="009F00D9"/>
    <w:rsid w:val="009F0573"/>
    <w:rsid w:val="009F0994"/>
    <w:rsid w:val="009F13EB"/>
    <w:rsid w:val="009F17BC"/>
    <w:rsid w:val="009F196E"/>
    <w:rsid w:val="009F1B00"/>
    <w:rsid w:val="009F1DC7"/>
    <w:rsid w:val="009F1F7B"/>
    <w:rsid w:val="009F217A"/>
    <w:rsid w:val="009F2993"/>
    <w:rsid w:val="009F29FF"/>
    <w:rsid w:val="009F34F1"/>
    <w:rsid w:val="009F3A47"/>
    <w:rsid w:val="009F3B3A"/>
    <w:rsid w:val="009F3EC5"/>
    <w:rsid w:val="009F4C96"/>
    <w:rsid w:val="009F539F"/>
    <w:rsid w:val="009F5A33"/>
    <w:rsid w:val="009F6135"/>
    <w:rsid w:val="009F621E"/>
    <w:rsid w:val="009F6396"/>
    <w:rsid w:val="009F647A"/>
    <w:rsid w:val="009F679E"/>
    <w:rsid w:val="009F7821"/>
    <w:rsid w:val="009F7873"/>
    <w:rsid w:val="00A005A1"/>
    <w:rsid w:val="00A00BBF"/>
    <w:rsid w:val="00A00D60"/>
    <w:rsid w:val="00A01304"/>
    <w:rsid w:val="00A0175B"/>
    <w:rsid w:val="00A019B7"/>
    <w:rsid w:val="00A01E59"/>
    <w:rsid w:val="00A0224B"/>
    <w:rsid w:val="00A024D8"/>
    <w:rsid w:val="00A02738"/>
    <w:rsid w:val="00A0284A"/>
    <w:rsid w:val="00A02C84"/>
    <w:rsid w:val="00A02DAB"/>
    <w:rsid w:val="00A0325C"/>
    <w:rsid w:val="00A038CC"/>
    <w:rsid w:val="00A03B67"/>
    <w:rsid w:val="00A03BEB"/>
    <w:rsid w:val="00A04018"/>
    <w:rsid w:val="00A041D9"/>
    <w:rsid w:val="00A0515B"/>
    <w:rsid w:val="00A0587A"/>
    <w:rsid w:val="00A05AA6"/>
    <w:rsid w:val="00A05F59"/>
    <w:rsid w:val="00A061E3"/>
    <w:rsid w:val="00A071E6"/>
    <w:rsid w:val="00A07C18"/>
    <w:rsid w:val="00A07D38"/>
    <w:rsid w:val="00A1004F"/>
    <w:rsid w:val="00A1011F"/>
    <w:rsid w:val="00A10298"/>
    <w:rsid w:val="00A10751"/>
    <w:rsid w:val="00A1088B"/>
    <w:rsid w:val="00A108CD"/>
    <w:rsid w:val="00A10FFE"/>
    <w:rsid w:val="00A1138F"/>
    <w:rsid w:val="00A11506"/>
    <w:rsid w:val="00A11582"/>
    <w:rsid w:val="00A11683"/>
    <w:rsid w:val="00A11BCD"/>
    <w:rsid w:val="00A11F28"/>
    <w:rsid w:val="00A121F3"/>
    <w:rsid w:val="00A123A2"/>
    <w:rsid w:val="00A1251F"/>
    <w:rsid w:val="00A1265B"/>
    <w:rsid w:val="00A12794"/>
    <w:rsid w:val="00A12837"/>
    <w:rsid w:val="00A12AA9"/>
    <w:rsid w:val="00A13A2C"/>
    <w:rsid w:val="00A14028"/>
    <w:rsid w:val="00A141F1"/>
    <w:rsid w:val="00A14207"/>
    <w:rsid w:val="00A143A0"/>
    <w:rsid w:val="00A1461D"/>
    <w:rsid w:val="00A15488"/>
    <w:rsid w:val="00A15619"/>
    <w:rsid w:val="00A15695"/>
    <w:rsid w:val="00A15E75"/>
    <w:rsid w:val="00A16270"/>
    <w:rsid w:val="00A168D9"/>
    <w:rsid w:val="00A16FA6"/>
    <w:rsid w:val="00A17577"/>
    <w:rsid w:val="00A17592"/>
    <w:rsid w:val="00A17621"/>
    <w:rsid w:val="00A17825"/>
    <w:rsid w:val="00A17B5F"/>
    <w:rsid w:val="00A17BA4"/>
    <w:rsid w:val="00A17F0E"/>
    <w:rsid w:val="00A207B4"/>
    <w:rsid w:val="00A20806"/>
    <w:rsid w:val="00A21019"/>
    <w:rsid w:val="00A211B9"/>
    <w:rsid w:val="00A212CD"/>
    <w:rsid w:val="00A21476"/>
    <w:rsid w:val="00A21673"/>
    <w:rsid w:val="00A218B7"/>
    <w:rsid w:val="00A218F7"/>
    <w:rsid w:val="00A21F22"/>
    <w:rsid w:val="00A2215F"/>
    <w:rsid w:val="00A23189"/>
    <w:rsid w:val="00A233A3"/>
    <w:rsid w:val="00A233BA"/>
    <w:rsid w:val="00A238F8"/>
    <w:rsid w:val="00A23AF4"/>
    <w:rsid w:val="00A252D4"/>
    <w:rsid w:val="00A254A6"/>
    <w:rsid w:val="00A25971"/>
    <w:rsid w:val="00A25C76"/>
    <w:rsid w:val="00A262C9"/>
    <w:rsid w:val="00A26429"/>
    <w:rsid w:val="00A26576"/>
    <w:rsid w:val="00A266F0"/>
    <w:rsid w:val="00A26814"/>
    <w:rsid w:val="00A26C96"/>
    <w:rsid w:val="00A26F92"/>
    <w:rsid w:val="00A272A1"/>
    <w:rsid w:val="00A27A0F"/>
    <w:rsid w:val="00A27EF2"/>
    <w:rsid w:val="00A3000C"/>
    <w:rsid w:val="00A301A5"/>
    <w:rsid w:val="00A30375"/>
    <w:rsid w:val="00A31166"/>
    <w:rsid w:val="00A31D19"/>
    <w:rsid w:val="00A32559"/>
    <w:rsid w:val="00A325EA"/>
    <w:rsid w:val="00A32FEA"/>
    <w:rsid w:val="00A33B2F"/>
    <w:rsid w:val="00A34026"/>
    <w:rsid w:val="00A3433A"/>
    <w:rsid w:val="00A345E7"/>
    <w:rsid w:val="00A34832"/>
    <w:rsid w:val="00A34895"/>
    <w:rsid w:val="00A34931"/>
    <w:rsid w:val="00A3503F"/>
    <w:rsid w:val="00A353E7"/>
    <w:rsid w:val="00A3556B"/>
    <w:rsid w:val="00A358B6"/>
    <w:rsid w:val="00A35B53"/>
    <w:rsid w:val="00A35D0C"/>
    <w:rsid w:val="00A3624C"/>
    <w:rsid w:val="00A3630F"/>
    <w:rsid w:val="00A36424"/>
    <w:rsid w:val="00A36461"/>
    <w:rsid w:val="00A3677B"/>
    <w:rsid w:val="00A36BFD"/>
    <w:rsid w:val="00A37195"/>
    <w:rsid w:val="00A3749F"/>
    <w:rsid w:val="00A37C16"/>
    <w:rsid w:val="00A407F2"/>
    <w:rsid w:val="00A409FC"/>
    <w:rsid w:val="00A41188"/>
    <w:rsid w:val="00A41439"/>
    <w:rsid w:val="00A418FE"/>
    <w:rsid w:val="00A41E70"/>
    <w:rsid w:val="00A42308"/>
    <w:rsid w:val="00A4242D"/>
    <w:rsid w:val="00A42553"/>
    <w:rsid w:val="00A42A6E"/>
    <w:rsid w:val="00A42C8A"/>
    <w:rsid w:val="00A431DA"/>
    <w:rsid w:val="00A43359"/>
    <w:rsid w:val="00A435FC"/>
    <w:rsid w:val="00A43BA8"/>
    <w:rsid w:val="00A43DB1"/>
    <w:rsid w:val="00A43E1F"/>
    <w:rsid w:val="00A44084"/>
    <w:rsid w:val="00A441BA"/>
    <w:rsid w:val="00A44252"/>
    <w:rsid w:val="00A443FD"/>
    <w:rsid w:val="00A44596"/>
    <w:rsid w:val="00A44662"/>
    <w:rsid w:val="00A448F0"/>
    <w:rsid w:val="00A4497C"/>
    <w:rsid w:val="00A4514E"/>
    <w:rsid w:val="00A451C5"/>
    <w:rsid w:val="00A45970"/>
    <w:rsid w:val="00A45D7A"/>
    <w:rsid w:val="00A45FA1"/>
    <w:rsid w:val="00A4607F"/>
    <w:rsid w:val="00A466FB"/>
    <w:rsid w:val="00A46BEE"/>
    <w:rsid w:val="00A46F51"/>
    <w:rsid w:val="00A472DC"/>
    <w:rsid w:val="00A4757D"/>
    <w:rsid w:val="00A476AE"/>
    <w:rsid w:val="00A479E7"/>
    <w:rsid w:val="00A50346"/>
    <w:rsid w:val="00A506BC"/>
    <w:rsid w:val="00A5071D"/>
    <w:rsid w:val="00A50EF1"/>
    <w:rsid w:val="00A51751"/>
    <w:rsid w:val="00A51C39"/>
    <w:rsid w:val="00A52058"/>
    <w:rsid w:val="00A521AA"/>
    <w:rsid w:val="00A5224B"/>
    <w:rsid w:val="00A528BA"/>
    <w:rsid w:val="00A52A56"/>
    <w:rsid w:val="00A52B99"/>
    <w:rsid w:val="00A52CDD"/>
    <w:rsid w:val="00A52F66"/>
    <w:rsid w:val="00A534E8"/>
    <w:rsid w:val="00A535A8"/>
    <w:rsid w:val="00A536E1"/>
    <w:rsid w:val="00A54557"/>
    <w:rsid w:val="00A54756"/>
    <w:rsid w:val="00A54B35"/>
    <w:rsid w:val="00A54EB2"/>
    <w:rsid w:val="00A5530E"/>
    <w:rsid w:val="00A55A5F"/>
    <w:rsid w:val="00A56420"/>
    <w:rsid w:val="00A5681C"/>
    <w:rsid w:val="00A56CC5"/>
    <w:rsid w:val="00A5734B"/>
    <w:rsid w:val="00A575E3"/>
    <w:rsid w:val="00A57A93"/>
    <w:rsid w:val="00A57AE6"/>
    <w:rsid w:val="00A57CF2"/>
    <w:rsid w:val="00A60445"/>
    <w:rsid w:val="00A6055F"/>
    <w:rsid w:val="00A6069E"/>
    <w:rsid w:val="00A6076D"/>
    <w:rsid w:val="00A60821"/>
    <w:rsid w:val="00A60846"/>
    <w:rsid w:val="00A60DD6"/>
    <w:rsid w:val="00A615D3"/>
    <w:rsid w:val="00A6211C"/>
    <w:rsid w:val="00A6299A"/>
    <w:rsid w:val="00A629EE"/>
    <w:rsid w:val="00A62A19"/>
    <w:rsid w:val="00A63D15"/>
    <w:rsid w:val="00A6460A"/>
    <w:rsid w:val="00A64630"/>
    <w:rsid w:val="00A64A24"/>
    <w:rsid w:val="00A65182"/>
    <w:rsid w:val="00A652F1"/>
    <w:rsid w:val="00A65338"/>
    <w:rsid w:val="00A65362"/>
    <w:rsid w:val="00A6538A"/>
    <w:rsid w:val="00A6581F"/>
    <w:rsid w:val="00A65A45"/>
    <w:rsid w:val="00A65AA6"/>
    <w:rsid w:val="00A65B29"/>
    <w:rsid w:val="00A65E9D"/>
    <w:rsid w:val="00A66504"/>
    <w:rsid w:val="00A668B5"/>
    <w:rsid w:val="00A66F29"/>
    <w:rsid w:val="00A66F90"/>
    <w:rsid w:val="00A670FB"/>
    <w:rsid w:val="00A6759E"/>
    <w:rsid w:val="00A70603"/>
    <w:rsid w:val="00A707F9"/>
    <w:rsid w:val="00A70995"/>
    <w:rsid w:val="00A71065"/>
    <w:rsid w:val="00A72180"/>
    <w:rsid w:val="00A721A7"/>
    <w:rsid w:val="00A73136"/>
    <w:rsid w:val="00A73958"/>
    <w:rsid w:val="00A73F47"/>
    <w:rsid w:val="00A73F72"/>
    <w:rsid w:val="00A7478D"/>
    <w:rsid w:val="00A7510C"/>
    <w:rsid w:val="00A751ED"/>
    <w:rsid w:val="00A75762"/>
    <w:rsid w:val="00A75865"/>
    <w:rsid w:val="00A75B11"/>
    <w:rsid w:val="00A762F0"/>
    <w:rsid w:val="00A76385"/>
    <w:rsid w:val="00A764A3"/>
    <w:rsid w:val="00A768B4"/>
    <w:rsid w:val="00A77580"/>
    <w:rsid w:val="00A77587"/>
    <w:rsid w:val="00A7791B"/>
    <w:rsid w:val="00A77A8C"/>
    <w:rsid w:val="00A8002D"/>
    <w:rsid w:val="00A8058B"/>
    <w:rsid w:val="00A8058E"/>
    <w:rsid w:val="00A807B7"/>
    <w:rsid w:val="00A80C5C"/>
    <w:rsid w:val="00A80D98"/>
    <w:rsid w:val="00A818AA"/>
    <w:rsid w:val="00A8196B"/>
    <w:rsid w:val="00A821FB"/>
    <w:rsid w:val="00A824C0"/>
    <w:rsid w:val="00A82537"/>
    <w:rsid w:val="00A82591"/>
    <w:rsid w:val="00A825D5"/>
    <w:rsid w:val="00A82822"/>
    <w:rsid w:val="00A834D8"/>
    <w:rsid w:val="00A839ED"/>
    <w:rsid w:val="00A83E88"/>
    <w:rsid w:val="00A84727"/>
    <w:rsid w:val="00A84B6A"/>
    <w:rsid w:val="00A84CC7"/>
    <w:rsid w:val="00A84F1C"/>
    <w:rsid w:val="00A8502C"/>
    <w:rsid w:val="00A852CD"/>
    <w:rsid w:val="00A856C7"/>
    <w:rsid w:val="00A85C0B"/>
    <w:rsid w:val="00A86269"/>
    <w:rsid w:val="00A86513"/>
    <w:rsid w:val="00A866D6"/>
    <w:rsid w:val="00A8677D"/>
    <w:rsid w:val="00A867EC"/>
    <w:rsid w:val="00A86BAF"/>
    <w:rsid w:val="00A86CB1"/>
    <w:rsid w:val="00A8702B"/>
    <w:rsid w:val="00A87B11"/>
    <w:rsid w:val="00A87EAD"/>
    <w:rsid w:val="00A87EC2"/>
    <w:rsid w:val="00A9010C"/>
    <w:rsid w:val="00A903B7"/>
    <w:rsid w:val="00A903FB"/>
    <w:rsid w:val="00A90510"/>
    <w:rsid w:val="00A9075C"/>
    <w:rsid w:val="00A90E31"/>
    <w:rsid w:val="00A90E91"/>
    <w:rsid w:val="00A916F8"/>
    <w:rsid w:val="00A91AD0"/>
    <w:rsid w:val="00A920E3"/>
    <w:rsid w:val="00A92150"/>
    <w:rsid w:val="00A92157"/>
    <w:rsid w:val="00A92523"/>
    <w:rsid w:val="00A92CE7"/>
    <w:rsid w:val="00A92DD6"/>
    <w:rsid w:val="00A93209"/>
    <w:rsid w:val="00A9327C"/>
    <w:rsid w:val="00A93736"/>
    <w:rsid w:val="00A9399B"/>
    <w:rsid w:val="00A939C8"/>
    <w:rsid w:val="00A93DF6"/>
    <w:rsid w:val="00A948C6"/>
    <w:rsid w:val="00A94B7B"/>
    <w:rsid w:val="00A94D03"/>
    <w:rsid w:val="00A94D33"/>
    <w:rsid w:val="00A94D4C"/>
    <w:rsid w:val="00A95562"/>
    <w:rsid w:val="00A95940"/>
    <w:rsid w:val="00A95BAB"/>
    <w:rsid w:val="00A95E30"/>
    <w:rsid w:val="00A96177"/>
    <w:rsid w:val="00A9649B"/>
    <w:rsid w:val="00A964F5"/>
    <w:rsid w:val="00A968EB"/>
    <w:rsid w:val="00A96B9B"/>
    <w:rsid w:val="00A97FB2"/>
    <w:rsid w:val="00AA032A"/>
    <w:rsid w:val="00AA0CA0"/>
    <w:rsid w:val="00AA0DDD"/>
    <w:rsid w:val="00AA0E9F"/>
    <w:rsid w:val="00AA1AA3"/>
    <w:rsid w:val="00AA1D3F"/>
    <w:rsid w:val="00AA277D"/>
    <w:rsid w:val="00AA3236"/>
    <w:rsid w:val="00AA329A"/>
    <w:rsid w:val="00AA342A"/>
    <w:rsid w:val="00AA3ABD"/>
    <w:rsid w:val="00AA3B09"/>
    <w:rsid w:val="00AA3C01"/>
    <w:rsid w:val="00AA3F59"/>
    <w:rsid w:val="00AA4982"/>
    <w:rsid w:val="00AA5137"/>
    <w:rsid w:val="00AA529E"/>
    <w:rsid w:val="00AA565B"/>
    <w:rsid w:val="00AA5ACE"/>
    <w:rsid w:val="00AA5C7F"/>
    <w:rsid w:val="00AA602C"/>
    <w:rsid w:val="00AA61A6"/>
    <w:rsid w:val="00AA61BA"/>
    <w:rsid w:val="00AA61F6"/>
    <w:rsid w:val="00AA652E"/>
    <w:rsid w:val="00AA6B8A"/>
    <w:rsid w:val="00AA6C45"/>
    <w:rsid w:val="00AA6E9E"/>
    <w:rsid w:val="00AA75A2"/>
    <w:rsid w:val="00AA77E7"/>
    <w:rsid w:val="00AA7F0F"/>
    <w:rsid w:val="00AA7FBC"/>
    <w:rsid w:val="00AB00B4"/>
    <w:rsid w:val="00AB0C58"/>
    <w:rsid w:val="00AB101F"/>
    <w:rsid w:val="00AB1890"/>
    <w:rsid w:val="00AB2019"/>
    <w:rsid w:val="00AB208D"/>
    <w:rsid w:val="00AB234D"/>
    <w:rsid w:val="00AB272D"/>
    <w:rsid w:val="00AB2CA5"/>
    <w:rsid w:val="00AB3901"/>
    <w:rsid w:val="00AB392D"/>
    <w:rsid w:val="00AB3991"/>
    <w:rsid w:val="00AB4036"/>
    <w:rsid w:val="00AB488D"/>
    <w:rsid w:val="00AB4BDF"/>
    <w:rsid w:val="00AB551F"/>
    <w:rsid w:val="00AB565D"/>
    <w:rsid w:val="00AB5B1A"/>
    <w:rsid w:val="00AB5E74"/>
    <w:rsid w:val="00AB5F07"/>
    <w:rsid w:val="00AB5F4C"/>
    <w:rsid w:val="00AB6515"/>
    <w:rsid w:val="00AB6E35"/>
    <w:rsid w:val="00AB72D3"/>
    <w:rsid w:val="00AB7B5B"/>
    <w:rsid w:val="00AB7E92"/>
    <w:rsid w:val="00AB7FF6"/>
    <w:rsid w:val="00AC0115"/>
    <w:rsid w:val="00AC0443"/>
    <w:rsid w:val="00AC08DA"/>
    <w:rsid w:val="00AC0D59"/>
    <w:rsid w:val="00AC1401"/>
    <w:rsid w:val="00AC1B15"/>
    <w:rsid w:val="00AC1BF3"/>
    <w:rsid w:val="00AC1DA3"/>
    <w:rsid w:val="00AC20FF"/>
    <w:rsid w:val="00AC22BD"/>
    <w:rsid w:val="00AC22C2"/>
    <w:rsid w:val="00AC230F"/>
    <w:rsid w:val="00AC270E"/>
    <w:rsid w:val="00AC27F1"/>
    <w:rsid w:val="00AC28B4"/>
    <w:rsid w:val="00AC2CA4"/>
    <w:rsid w:val="00AC30CB"/>
    <w:rsid w:val="00AC352B"/>
    <w:rsid w:val="00AC385B"/>
    <w:rsid w:val="00AC3BB3"/>
    <w:rsid w:val="00AC43D8"/>
    <w:rsid w:val="00AC4424"/>
    <w:rsid w:val="00AC44C4"/>
    <w:rsid w:val="00AC46E5"/>
    <w:rsid w:val="00AC470D"/>
    <w:rsid w:val="00AC4D73"/>
    <w:rsid w:val="00AC5EDA"/>
    <w:rsid w:val="00AC611A"/>
    <w:rsid w:val="00AC731A"/>
    <w:rsid w:val="00AD0A8D"/>
    <w:rsid w:val="00AD17FC"/>
    <w:rsid w:val="00AD1A3C"/>
    <w:rsid w:val="00AD1D16"/>
    <w:rsid w:val="00AD21B4"/>
    <w:rsid w:val="00AD22BC"/>
    <w:rsid w:val="00AD2834"/>
    <w:rsid w:val="00AD28F5"/>
    <w:rsid w:val="00AD29A9"/>
    <w:rsid w:val="00AD36CF"/>
    <w:rsid w:val="00AD453E"/>
    <w:rsid w:val="00AD455F"/>
    <w:rsid w:val="00AD456B"/>
    <w:rsid w:val="00AD4641"/>
    <w:rsid w:val="00AD4A41"/>
    <w:rsid w:val="00AD5820"/>
    <w:rsid w:val="00AD592F"/>
    <w:rsid w:val="00AD5BB3"/>
    <w:rsid w:val="00AD5D61"/>
    <w:rsid w:val="00AD623D"/>
    <w:rsid w:val="00AD632F"/>
    <w:rsid w:val="00AD65EF"/>
    <w:rsid w:val="00AD66FB"/>
    <w:rsid w:val="00AD6EE6"/>
    <w:rsid w:val="00AD713D"/>
    <w:rsid w:val="00AD71AB"/>
    <w:rsid w:val="00AD736D"/>
    <w:rsid w:val="00AD75A6"/>
    <w:rsid w:val="00AD788C"/>
    <w:rsid w:val="00AD78FF"/>
    <w:rsid w:val="00AD7C2B"/>
    <w:rsid w:val="00AD7CDE"/>
    <w:rsid w:val="00AE007B"/>
    <w:rsid w:val="00AE03DA"/>
    <w:rsid w:val="00AE0524"/>
    <w:rsid w:val="00AE099E"/>
    <w:rsid w:val="00AE0A13"/>
    <w:rsid w:val="00AE0B33"/>
    <w:rsid w:val="00AE10E0"/>
    <w:rsid w:val="00AE140D"/>
    <w:rsid w:val="00AE164F"/>
    <w:rsid w:val="00AE1A4E"/>
    <w:rsid w:val="00AE1DF6"/>
    <w:rsid w:val="00AE25BA"/>
    <w:rsid w:val="00AE25E5"/>
    <w:rsid w:val="00AE2D56"/>
    <w:rsid w:val="00AE2DF1"/>
    <w:rsid w:val="00AE31D5"/>
    <w:rsid w:val="00AE33F3"/>
    <w:rsid w:val="00AE3402"/>
    <w:rsid w:val="00AE3695"/>
    <w:rsid w:val="00AE378D"/>
    <w:rsid w:val="00AE3A57"/>
    <w:rsid w:val="00AE3C49"/>
    <w:rsid w:val="00AE3CF5"/>
    <w:rsid w:val="00AE45B9"/>
    <w:rsid w:val="00AE4E16"/>
    <w:rsid w:val="00AE528B"/>
    <w:rsid w:val="00AE52A3"/>
    <w:rsid w:val="00AE538B"/>
    <w:rsid w:val="00AE570A"/>
    <w:rsid w:val="00AE57B8"/>
    <w:rsid w:val="00AE6053"/>
    <w:rsid w:val="00AE61FF"/>
    <w:rsid w:val="00AE63B3"/>
    <w:rsid w:val="00AE6496"/>
    <w:rsid w:val="00AE70FC"/>
    <w:rsid w:val="00AE7168"/>
    <w:rsid w:val="00AE72F9"/>
    <w:rsid w:val="00AE7BB2"/>
    <w:rsid w:val="00AE7CE9"/>
    <w:rsid w:val="00AE7D50"/>
    <w:rsid w:val="00AF074C"/>
    <w:rsid w:val="00AF09BF"/>
    <w:rsid w:val="00AF0CB8"/>
    <w:rsid w:val="00AF0FAD"/>
    <w:rsid w:val="00AF1022"/>
    <w:rsid w:val="00AF11EE"/>
    <w:rsid w:val="00AF148D"/>
    <w:rsid w:val="00AF1C4F"/>
    <w:rsid w:val="00AF1E39"/>
    <w:rsid w:val="00AF1F78"/>
    <w:rsid w:val="00AF24E3"/>
    <w:rsid w:val="00AF29BD"/>
    <w:rsid w:val="00AF350A"/>
    <w:rsid w:val="00AF3CDC"/>
    <w:rsid w:val="00AF3D19"/>
    <w:rsid w:val="00AF3EBD"/>
    <w:rsid w:val="00AF40AF"/>
    <w:rsid w:val="00AF4D91"/>
    <w:rsid w:val="00AF527F"/>
    <w:rsid w:val="00AF589D"/>
    <w:rsid w:val="00AF595F"/>
    <w:rsid w:val="00AF6716"/>
    <w:rsid w:val="00AF6B62"/>
    <w:rsid w:val="00AF6C7E"/>
    <w:rsid w:val="00AF6D40"/>
    <w:rsid w:val="00AF7174"/>
    <w:rsid w:val="00AF71AA"/>
    <w:rsid w:val="00AF7479"/>
    <w:rsid w:val="00AF74BD"/>
    <w:rsid w:val="00AF769C"/>
    <w:rsid w:val="00AF775E"/>
    <w:rsid w:val="00AF77DD"/>
    <w:rsid w:val="00AF7C1F"/>
    <w:rsid w:val="00B004F3"/>
    <w:rsid w:val="00B018FA"/>
    <w:rsid w:val="00B019F3"/>
    <w:rsid w:val="00B01BEE"/>
    <w:rsid w:val="00B0200F"/>
    <w:rsid w:val="00B02146"/>
    <w:rsid w:val="00B0256C"/>
    <w:rsid w:val="00B02987"/>
    <w:rsid w:val="00B02D22"/>
    <w:rsid w:val="00B03274"/>
    <w:rsid w:val="00B0361A"/>
    <w:rsid w:val="00B038D6"/>
    <w:rsid w:val="00B03C66"/>
    <w:rsid w:val="00B03FF6"/>
    <w:rsid w:val="00B040D2"/>
    <w:rsid w:val="00B041D7"/>
    <w:rsid w:val="00B04320"/>
    <w:rsid w:val="00B045D9"/>
    <w:rsid w:val="00B04944"/>
    <w:rsid w:val="00B04EE7"/>
    <w:rsid w:val="00B050DD"/>
    <w:rsid w:val="00B052AD"/>
    <w:rsid w:val="00B05569"/>
    <w:rsid w:val="00B0585A"/>
    <w:rsid w:val="00B065AC"/>
    <w:rsid w:val="00B06852"/>
    <w:rsid w:val="00B06A20"/>
    <w:rsid w:val="00B06E50"/>
    <w:rsid w:val="00B0743C"/>
    <w:rsid w:val="00B07BE4"/>
    <w:rsid w:val="00B07FF5"/>
    <w:rsid w:val="00B108F2"/>
    <w:rsid w:val="00B10E59"/>
    <w:rsid w:val="00B1150F"/>
    <w:rsid w:val="00B11855"/>
    <w:rsid w:val="00B11AC8"/>
    <w:rsid w:val="00B11CC9"/>
    <w:rsid w:val="00B122F8"/>
    <w:rsid w:val="00B12D57"/>
    <w:rsid w:val="00B13240"/>
    <w:rsid w:val="00B135FC"/>
    <w:rsid w:val="00B136C0"/>
    <w:rsid w:val="00B138C7"/>
    <w:rsid w:val="00B14374"/>
    <w:rsid w:val="00B14AEE"/>
    <w:rsid w:val="00B14B55"/>
    <w:rsid w:val="00B14DBF"/>
    <w:rsid w:val="00B153B2"/>
    <w:rsid w:val="00B1563C"/>
    <w:rsid w:val="00B15953"/>
    <w:rsid w:val="00B15B2C"/>
    <w:rsid w:val="00B15EDA"/>
    <w:rsid w:val="00B168FD"/>
    <w:rsid w:val="00B16977"/>
    <w:rsid w:val="00B169A1"/>
    <w:rsid w:val="00B17668"/>
    <w:rsid w:val="00B1784D"/>
    <w:rsid w:val="00B17B76"/>
    <w:rsid w:val="00B17CC0"/>
    <w:rsid w:val="00B202D8"/>
    <w:rsid w:val="00B2048A"/>
    <w:rsid w:val="00B20972"/>
    <w:rsid w:val="00B20FAE"/>
    <w:rsid w:val="00B21439"/>
    <w:rsid w:val="00B21966"/>
    <w:rsid w:val="00B21E97"/>
    <w:rsid w:val="00B22109"/>
    <w:rsid w:val="00B2255D"/>
    <w:rsid w:val="00B230A8"/>
    <w:rsid w:val="00B23188"/>
    <w:rsid w:val="00B23194"/>
    <w:rsid w:val="00B236B3"/>
    <w:rsid w:val="00B23E32"/>
    <w:rsid w:val="00B23E5D"/>
    <w:rsid w:val="00B2407A"/>
    <w:rsid w:val="00B24420"/>
    <w:rsid w:val="00B2474F"/>
    <w:rsid w:val="00B248C4"/>
    <w:rsid w:val="00B248C7"/>
    <w:rsid w:val="00B24BA0"/>
    <w:rsid w:val="00B24F02"/>
    <w:rsid w:val="00B25310"/>
    <w:rsid w:val="00B2587F"/>
    <w:rsid w:val="00B25AA1"/>
    <w:rsid w:val="00B25C85"/>
    <w:rsid w:val="00B26A85"/>
    <w:rsid w:val="00B26C02"/>
    <w:rsid w:val="00B27145"/>
    <w:rsid w:val="00B27993"/>
    <w:rsid w:val="00B27A3C"/>
    <w:rsid w:val="00B30368"/>
    <w:rsid w:val="00B3046D"/>
    <w:rsid w:val="00B30842"/>
    <w:rsid w:val="00B308BA"/>
    <w:rsid w:val="00B30D5B"/>
    <w:rsid w:val="00B30FF5"/>
    <w:rsid w:val="00B31163"/>
    <w:rsid w:val="00B31267"/>
    <w:rsid w:val="00B31818"/>
    <w:rsid w:val="00B3195E"/>
    <w:rsid w:val="00B31AED"/>
    <w:rsid w:val="00B31D17"/>
    <w:rsid w:val="00B31FF6"/>
    <w:rsid w:val="00B320BF"/>
    <w:rsid w:val="00B3256B"/>
    <w:rsid w:val="00B3289D"/>
    <w:rsid w:val="00B328C8"/>
    <w:rsid w:val="00B32DDF"/>
    <w:rsid w:val="00B33546"/>
    <w:rsid w:val="00B33EEC"/>
    <w:rsid w:val="00B341D8"/>
    <w:rsid w:val="00B3447C"/>
    <w:rsid w:val="00B34640"/>
    <w:rsid w:val="00B3470F"/>
    <w:rsid w:val="00B348E3"/>
    <w:rsid w:val="00B34F0D"/>
    <w:rsid w:val="00B34F89"/>
    <w:rsid w:val="00B35B89"/>
    <w:rsid w:val="00B35DA0"/>
    <w:rsid w:val="00B35FA0"/>
    <w:rsid w:val="00B369FB"/>
    <w:rsid w:val="00B36A0A"/>
    <w:rsid w:val="00B36A5C"/>
    <w:rsid w:val="00B37073"/>
    <w:rsid w:val="00B376C5"/>
    <w:rsid w:val="00B378C4"/>
    <w:rsid w:val="00B4019D"/>
    <w:rsid w:val="00B4022E"/>
    <w:rsid w:val="00B40379"/>
    <w:rsid w:val="00B40551"/>
    <w:rsid w:val="00B40C33"/>
    <w:rsid w:val="00B4129C"/>
    <w:rsid w:val="00B4144E"/>
    <w:rsid w:val="00B416AD"/>
    <w:rsid w:val="00B420CB"/>
    <w:rsid w:val="00B42195"/>
    <w:rsid w:val="00B4278C"/>
    <w:rsid w:val="00B42A98"/>
    <w:rsid w:val="00B4314C"/>
    <w:rsid w:val="00B433C6"/>
    <w:rsid w:val="00B4358C"/>
    <w:rsid w:val="00B43CDA"/>
    <w:rsid w:val="00B43FA3"/>
    <w:rsid w:val="00B4478C"/>
    <w:rsid w:val="00B44BC3"/>
    <w:rsid w:val="00B44D70"/>
    <w:rsid w:val="00B44D95"/>
    <w:rsid w:val="00B45009"/>
    <w:rsid w:val="00B45440"/>
    <w:rsid w:val="00B45B82"/>
    <w:rsid w:val="00B45D88"/>
    <w:rsid w:val="00B45F46"/>
    <w:rsid w:val="00B45F5F"/>
    <w:rsid w:val="00B45FF6"/>
    <w:rsid w:val="00B46084"/>
    <w:rsid w:val="00B46135"/>
    <w:rsid w:val="00B4693F"/>
    <w:rsid w:val="00B46D41"/>
    <w:rsid w:val="00B471D2"/>
    <w:rsid w:val="00B47975"/>
    <w:rsid w:val="00B47B2F"/>
    <w:rsid w:val="00B47D92"/>
    <w:rsid w:val="00B47E6C"/>
    <w:rsid w:val="00B47F0E"/>
    <w:rsid w:val="00B47F57"/>
    <w:rsid w:val="00B501D2"/>
    <w:rsid w:val="00B503B6"/>
    <w:rsid w:val="00B50668"/>
    <w:rsid w:val="00B5087F"/>
    <w:rsid w:val="00B50A1B"/>
    <w:rsid w:val="00B50AF5"/>
    <w:rsid w:val="00B50CE4"/>
    <w:rsid w:val="00B50D3D"/>
    <w:rsid w:val="00B50E40"/>
    <w:rsid w:val="00B51541"/>
    <w:rsid w:val="00B51816"/>
    <w:rsid w:val="00B51A0F"/>
    <w:rsid w:val="00B527B2"/>
    <w:rsid w:val="00B52970"/>
    <w:rsid w:val="00B52B83"/>
    <w:rsid w:val="00B52FB9"/>
    <w:rsid w:val="00B537F2"/>
    <w:rsid w:val="00B53810"/>
    <w:rsid w:val="00B53BF7"/>
    <w:rsid w:val="00B544D4"/>
    <w:rsid w:val="00B54784"/>
    <w:rsid w:val="00B54B16"/>
    <w:rsid w:val="00B54E17"/>
    <w:rsid w:val="00B54F42"/>
    <w:rsid w:val="00B5538A"/>
    <w:rsid w:val="00B55398"/>
    <w:rsid w:val="00B555D6"/>
    <w:rsid w:val="00B558D3"/>
    <w:rsid w:val="00B55B9F"/>
    <w:rsid w:val="00B55E78"/>
    <w:rsid w:val="00B5610A"/>
    <w:rsid w:val="00B5650F"/>
    <w:rsid w:val="00B5673D"/>
    <w:rsid w:val="00B56A1A"/>
    <w:rsid w:val="00B56B94"/>
    <w:rsid w:val="00B5729A"/>
    <w:rsid w:val="00B57E37"/>
    <w:rsid w:val="00B60259"/>
    <w:rsid w:val="00B6056F"/>
    <w:rsid w:val="00B60BD9"/>
    <w:rsid w:val="00B60C68"/>
    <w:rsid w:val="00B6146E"/>
    <w:rsid w:val="00B6161A"/>
    <w:rsid w:val="00B61C62"/>
    <w:rsid w:val="00B61CB6"/>
    <w:rsid w:val="00B62304"/>
    <w:rsid w:val="00B629F5"/>
    <w:rsid w:val="00B62A28"/>
    <w:rsid w:val="00B62E88"/>
    <w:rsid w:val="00B62EA1"/>
    <w:rsid w:val="00B637E6"/>
    <w:rsid w:val="00B63846"/>
    <w:rsid w:val="00B63971"/>
    <w:rsid w:val="00B63D0C"/>
    <w:rsid w:val="00B63ED8"/>
    <w:rsid w:val="00B6494C"/>
    <w:rsid w:val="00B65024"/>
    <w:rsid w:val="00B6515B"/>
    <w:rsid w:val="00B65BE4"/>
    <w:rsid w:val="00B66017"/>
    <w:rsid w:val="00B6614F"/>
    <w:rsid w:val="00B6619D"/>
    <w:rsid w:val="00B661B6"/>
    <w:rsid w:val="00B67162"/>
    <w:rsid w:val="00B67998"/>
    <w:rsid w:val="00B67C80"/>
    <w:rsid w:val="00B67D44"/>
    <w:rsid w:val="00B70095"/>
    <w:rsid w:val="00B7051F"/>
    <w:rsid w:val="00B70C0D"/>
    <w:rsid w:val="00B712FF"/>
    <w:rsid w:val="00B71486"/>
    <w:rsid w:val="00B7169A"/>
    <w:rsid w:val="00B71916"/>
    <w:rsid w:val="00B71B27"/>
    <w:rsid w:val="00B71BF2"/>
    <w:rsid w:val="00B71F0B"/>
    <w:rsid w:val="00B721A6"/>
    <w:rsid w:val="00B723C4"/>
    <w:rsid w:val="00B725D8"/>
    <w:rsid w:val="00B72CAE"/>
    <w:rsid w:val="00B72EF1"/>
    <w:rsid w:val="00B7416D"/>
    <w:rsid w:val="00B74571"/>
    <w:rsid w:val="00B74586"/>
    <w:rsid w:val="00B74594"/>
    <w:rsid w:val="00B747FF"/>
    <w:rsid w:val="00B74BDE"/>
    <w:rsid w:val="00B74EF1"/>
    <w:rsid w:val="00B7507F"/>
    <w:rsid w:val="00B752B9"/>
    <w:rsid w:val="00B758EB"/>
    <w:rsid w:val="00B75F5B"/>
    <w:rsid w:val="00B765BC"/>
    <w:rsid w:val="00B7671F"/>
    <w:rsid w:val="00B7698E"/>
    <w:rsid w:val="00B76A63"/>
    <w:rsid w:val="00B7748A"/>
    <w:rsid w:val="00B77519"/>
    <w:rsid w:val="00B7756D"/>
    <w:rsid w:val="00B77716"/>
    <w:rsid w:val="00B77A8D"/>
    <w:rsid w:val="00B77EE5"/>
    <w:rsid w:val="00B801BB"/>
    <w:rsid w:val="00B8034E"/>
    <w:rsid w:val="00B815DE"/>
    <w:rsid w:val="00B819C8"/>
    <w:rsid w:val="00B82007"/>
    <w:rsid w:val="00B823AB"/>
    <w:rsid w:val="00B827D4"/>
    <w:rsid w:val="00B8302D"/>
    <w:rsid w:val="00B836D6"/>
    <w:rsid w:val="00B836E4"/>
    <w:rsid w:val="00B83CBF"/>
    <w:rsid w:val="00B84AAB"/>
    <w:rsid w:val="00B857FD"/>
    <w:rsid w:val="00B85829"/>
    <w:rsid w:val="00B85995"/>
    <w:rsid w:val="00B85C0A"/>
    <w:rsid w:val="00B85DE1"/>
    <w:rsid w:val="00B866CC"/>
    <w:rsid w:val="00B86901"/>
    <w:rsid w:val="00B86D6E"/>
    <w:rsid w:val="00B87181"/>
    <w:rsid w:val="00B8739A"/>
    <w:rsid w:val="00B8756F"/>
    <w:rsid w:val="00B87B1D"/>
    <w:rsid w:val="00B87CAE"/>
    <w:rsid w:val="00B87CC8"/>
    <w:rsid w:val="00B87E99"/>
    <w:rsid w:val="00B87F49"/>
    <w:rsid w:val="00B90367"/>
    <w:rsid w:val="00B91BBB"/>
    <w:rsid w:val="00B91C84"/>
    <w:rsid w:val="00B91DBD"/>
    <w:rsid w:val="00B926AA"/>
    <w:rsid w:val="00B928EE"/>
    <w:rsid w:val="00B93066"/>
    <w:rsid w:val="00B932A9"/>
    <w:rsid w:val="00B93AC5"/>
    <w:rsid w:val="00B93C2C"/>
    <w:rsid w:val="00B93EB6"/>
    <w:rsid w:val="00B94681"/>
    <w:rsid w:val="00B94953"/>
    <w:rsid w:val="00B94A4E"/>
    <w:rsid w:val="00B94DFE"/>
    <w:rsid w:val="00B951AC"/>
    <w:rsid w:val="00B9528C"/>
    <w:rsid w:val="00B95309"/>
    <w:rsid w:val="00B95A91"/>
    <w:rsid w:val="00B95BE6"/>
    <w:rsid w:val="00B9607C"/>
    <w:rsid w:val="00B96787"/>
    <w:rsid w:val="00B96D22"/>
    <w:rsid w:val="00B9757E"/>
    <w:rsid w:val="00B978C2"/>
    <w:rsid w:val="00BA00FF"/>
    <w:rsid w:val="00BA03DD"/>
    <w:rsid w:val="00BA1F18"/>
    <w:rsid w:val="00BA2A2F"/>
    <w:rsid w:val="00BA3216"/>
    <w:rsid w:val="00BA3695"/>
    <w:rsid w:val="00BA3C09"/>
    <w:rsid w:val="00BA3C10"/>
    <w:rsid w:val="00BA3DDE"/>
    <w:rsid w:val="00BA3E63"/>
    <w:rsid w:val="00BA3F29"/>
    <w:rsid w:val="00BA4081"/>
    <w:rsid w:val="00BA40F9"/>
    <w:rsid w:val="00BA43FC"/>
    <w:rsid w:val="00BA44C2"/>
    <w:rsid w:val="00BA45DA"/>
    <w:rsid w:val="00BA47DC"/>
    <w:rsid w:val="00BA4A33"/>
    <w:rsid w:val="00BA4B76"/>
    <w:rsid w:val="00BA4EFF"/>
    <w:rsid w:val="00BA4F8C"/>
    <w:rsid w:val="00BA51BD"/>
    <w:rsid w:val="00BA5B66"/>
    <w:rsid w:val="00BA6128"/>
    <w:rsid w:val="00BA686A"/>
    <w:rsid w:val="00BA6F0A"/>
    <w:rsid w:val="00BA710C"/>
    <w:rsid w:val="00BA7457"/>
    <w:rsid w:val="00BA75F8"/>
    <w:rsid w:val="00BA770C"/>
    <w:rsid w:val="00BA7E3F"/>
    <w:rsid w:val="00BB00EB"/>
    <w:rsid w:val="00BB0154"/>
    <w:rsid w:val="00BB07DA"/>
    <w:rsid w:val="00BB089F"/>
    <w:rsid w:val="00BB0C88"/>
    <w:rsid w:val="00BB0D39"/>
    <w:rsid w:val="00BB0F2F"/>
    <w:rsid w:val="00BB1071"/>
    <w:rsid w:val="00BB14CE"/>
    <w:rsid w:val="00BB1C66"/>
    <w:rsid w:val="00BB1D73"/>
    <w:rsid w:val="00BB1F90"/>
    <w:rsid w:val="00BB290B"/>
    <w:rsid w:val="00BB293C"/>
    <w:rsid w:val="00BB2A53"/>
    <w:rsid w:val="00BB2C58"/>
    <w:rsid w:val="00BB2ED2"/>
    <w:rsid w:val="00BB3219"/>
    <w:rsid w:val="00BB331B"/>
    <w:rsid w:val="00BB3524"/>
    <w:rsid w:val="00BB37B5"/>
    <w:rsid w:val="00BB4908"/>
    <w:rsid w:val="00BB4916"/>
    <w:rsid w:val="00BB49A5"/>
    <w:rsid w:val="00BB4D15"/>
    <w:rsid w:val="00BB5413"/>
    <w:rsid w:val="00BB58D6"/>
    <w:rsid w:val="00BB607E"/>
    <w:rsid w:val="00BB647F"/>
    <w:rsid w:val="00BB64DE"/>
    <w:rsid w:val="00BB66D6"/>
    <w:rsid w:val="00BB6A03"/>
    <w:rsid w:val="00BB6C9F"/>
    <w:rsid w:val="00BB6E24"/>
    <w:rsid w:val="00BB756B"/>
    <w:rsid w:val="00BB7629"/>
    <w:rsid w:val="00BB7C1E"/>
    <w:rsid w:val="00BB7D99"/>
    <w:rsid w:val="00BC0145"/>
    <w:rsid w:val="00BC04E3"/>
    <w:rsid w:val="00BC1037"/>
    <w:rsid w:val="00BC119E"/>
    <w:rsid w:val="00BC17AE"/>
    <w:rsid w:val="00BC1B64"/>
    <w:rsid w:val="00BC1E33"/>
    <w:rsid w:val="00BC1E5E"/>
    <w:rsid w:val="00BC1F58"/>
    <w:rsid w:val="00BC1F5E"/>
    <w:rsid w:val="00BC2832"/>
    <w:rsid w:val="00BC2E8A"/>
    <w:rsid w:val="00BC3947"/>
    <w:rsid w:val="00BC3A76"/>
    <w:rsid w:val="00BC3CF9"/>
    <w:rsid w:val="00BC3D0C"/>
    <w:rsid w:val="00BC3D61"/>
    <w:rsid w:val="00BC3D91"/>
    <w:rsid w:val="00BC3E35"/>
    <w:rsid w:val="00BC44FE"/>
    <w:rsid w:val="00BC4830"/>
    <w:rsid w:val="00BC502B"/>
    <w:rsid w:val="00BC540F"/>
    <w:rsid w:val="00BC5760"/>
    <w:rsid w:val="00BC58B5"/>
    <w:rsid w:val="00BC60A2"/>
    <w:rsid w:val="00BC62B7"/>
    <w:rsid w:val="00BC6432"/>
    <w:rsid w:val="00BC679E"/>
    <w:rsid w:val="00BC68EB"/>
    <w:rsid w:val="00BC7335"/>
    <w:rsid w:val="00BC7511"/>
    <w:rsid w:val="00BC770A"/>
    <w:rsid w:val="00BC7758"/>
    <w:rsid w:val="00BC7A66"/>
    <w:rsid w:val="00BC7C56"/>
    <w:rsid w:val="00BC7C79"/>
    <w:rsid w:val="00BD0074"/>
    <w:rsid w:val="00BD01D6"/>
    <w:rsid w:val="00BD0623"/>
    <w:rsid w:val="00BD0AEB"/>
    <w:rsid w:val="00BD0DA0"/>
    <w:rsid w:val="00BD1015"/>
    <w:rsid w:val="00BD10B5"/>
    <w:rsid w:val="00BD1417"/>
    <w:rsid w:val="00BD162A"/>
    <w:rsid w:val="00BD2221"/>
    <w:rsid w:val="00BD22B9"/>
    <w:rsid w:val="00BD2E3C"/>
    <w:rsid w:val="00BD2FD2"/>
    <w:rsid w:val="00BD30E6"/>
    <w:rsid w:val="00BD3157"/>
    <w:rsid w:val="00BD351F"/>
    <w:rsid w:val="00BD3661"/>
    <w:rsid w:val="00BD36D6"/>
    <w:rsid w:val="00BD3B51"/>
    <w:rsid w:val="00BD3BD3"/>
    <w:rsid w:val="00BD4182"/>
    <w:rsid w:val="00BD4478"/>
    <w:rsid w:val="00BD4933"/>
    <w:rsid w:val="00BD4DD9"/>
    <w:rsid w:val="00BD5454"/>
    <w:rsid w:val="00BD566F"/>
    <w:rsid w:val="00BD570C"/>
    <w:rsid w:val="00BD58C6"/>
    <w:rsid w:val="00BD630E"/>
    <w:rsid w:val="00BD65CB"/>
    <w:rsid w:val="00BD6ACE"/>
    <w:rsid w:val="00BD6DDB"/>
    <w:rsid w:val="00BD761B"/>
    <w:rsid w:val="00BD76DB"/>
    <w:rsid w:val="00BD7A66"/>
    <w:rsid w:val="00BD7CF2"/>
    <w:rsid w:val="00BE0070"/>
    <w:rsid w:val="00BE01D8"/>
    <w:rsid w:val="00BE09FB"/>
    <w:rsid w:val="00BE0A65"/>
    <w:rsid w:val="00BE0DF7"/>
    <w:rsid w:val="00BE1059"/>
    <w:rsid w:val="00BE1551"/>
    <w:rsid w:val="00BE1C30"/>
    <w:rsid w:val="00BE1C80"/>
    <w:rsid w:val="00BE1FD5"/>
    <w:rsid w:val="00BE22B6"/>
    <w:rsid w:val="00BE2D69"/>
    <w:rsid w:val="00BE2E4A"/>
    <w:rsid w:val="00BE34B5"/>
    <w:rsid w:val="00BE3E01"/>
    <w:rsid w:val="00BE469B"/>
    <w:rsid w:val="00BE46C9"/>
    <w:rsid w:val="00BE48EB"/>
    <w:rsid w:val="00BE4F37"/>
    <w:rsid w:val="00BE59A6"/>
    <w:rsid w:val="00BE5C6A"/>
    <w:rsid w:val="00BE6172"/>
    <w:rsid w:val="00BE61D8"/>
    <w:rsid w:val="00BE6679"/>
    <w:rsid w:val="00BE6BA9"/>
    <w:rsid w:val="00BE7916"/>
    <w:rsid w:val="00BE7B21"/>
    <w:rsid w:val="00BE7BCE"/>
    <w:rsid w:val="00BE7BE7"/>
    <w:rsid w:val="00BE7D70"/>
    <w:rsid w:val="00BE7E44"/>
    <w:rsid w:val="00BF03DD"/>
    <w:rsid w:val="00BF0DF5"/>
    <w:rsid w:val="00BF1048"/>
    <w:rsid w:val="00BF110F"/>
    <w:rsid w:val="00BF1150"/>
    <w:rsid w:val="00BF1612"/>
    <w:rsid w:val="00BF169C"/>
    <w:rsid w:val="00BF1846"/>
    <w:rsid w:val="00BF1A7D"/>
    <w:rsid w:val="00BF1ADE"/>
    <w:rsid w:val="00BF1EBF"/>
    <w:rsid w:val="00BF22E4"/>
    <w:rsid w:val="00BF2306"/>
    <w:rsid w:val="00BF2CDF"/>
    <w:rsid w:val="00BF3059"/>
    <w:rsid w:val="00BF3974"/>
    <w:rsid w:val="00BF3EDD"/>
    <w:rsid w:val="00BF411E"/>
    <w:rsid w:val="00BF41E7"/>
    <w:rsid w:val="00BF4234"/>
    <w:rsid w:val="00BF44CE"/>
    <w:rsid w:val="00BF4A4A"/>
    <w:rsid w:val="00BF4D13"/>
    <w:rsid w:val="00BF5229"/>
    <w:rsid w:val="00BF528B"/>
    <w:rsid w:val="00BF5596"/>
    <w:rsid w:val="00BF5736"/>
    <w:rsid w:val="00BF58CA"/>
    <w:rsid w:val="00BF5AE5"/>
    <w:rsid w:val="00BF5BED"/>
    <w:rsid w:val="00BF5C31"/>
    <w:rsid w:val="00BF68DE"/>
    <w:rsid w:val="00BF696B"/>
    <w:rsid w:val="00BF6D3A"/>
    <w:rsid w:val="00BF6E32"/>
    <w:rsid w:val="00BF7180"/>
    <w:rsid w:val="00BF73E6"/>
    <w:rsid w:val="00BF77FB"/>
    <w:rsid w:val="00BF78B7"/>
    <w:rsid w:val="00BF7ACC"/>
    <w:rsid w:val="00BF7CD5"/>
    <w:rsid w:val="00BF7DFF"/>
    <w:rsid w:val="00C018A7"/>
    <w:rsid w:val="00C01C69"/>
    <w:rsid w:val="00C022AB"/>
    <w:rsid w:val="00C02755"/>
    <w:rsid w:val="00C02940"/>
    <w:rsid w:val="00C03644"/>
    <w:rsid w:val="00C03811"/>
    <w:rsid w:val="00C03A60"/>
    <w:rsid w:val="00C042EE"/>
    <w:rsid w:val="00C045F5"/>
    <w:rsid w:val="00C04ECE"/>
    <w:rsid w:val="00C053B0"/>
    <w:rsid w:val="00C05492"/>
    <w:rsid w:val="00C055D3"/>
    <w:rsid w:val="00C05757"/>
    <w:rsid w:val="00C05888"/>
    <w:rsid w:val="00C05936"/>
    <w:rsid w:val="00C059CB"/>
    <w:rsid w:val="00C05B2B"/>
    <w:rsid w:val="00C06463"/>
    <w:rsid w:val="00C06596"/>
    <w:rsid w:val="00C065A1"/>
    <w:rsid w:val="00C0698E"/>
    <w:rsid w:val="00C069AE"/>
    <w:rsid w:val="00C06D10"/>
    <w:rsid w:val="00C06D44"/>
    <w:rsid w:val="00C06EE2"/>
    <w:rsid w:val="00C06FF3"/>
    <w:rsid w:val="00C07433"/>
    <w:rsid w:val="00C106E7"/>
    <w:rsid w:val="00C109B9"/>
    <w:rsid w:val="00C10EE0"/>
    <w:rsid w:val="00C11093"/>
    <w:rsid w:val="00C115AD"/>
    <w:rsid w:val="00C11E92"/>
    <w:rsid w:val="00C12261"/>
    <w:rsid w:val="00C127EA"/>
    <w:rsid w:val="00C12A8F"/>
    <w:rsid w:val="00C13837"/>
    <w:rsid w:val="00C13FA1"/>
    <w:rsid w:val="00C1406C"/>
    <w:rsid w:val="00C140A6"/>
    <w:rsid w:val="00C14167"/>
    <w:rsid w:val="00C145F0"/>
    <w:rsid w:val="00C14B56"/>
    <w:rsid w:val="00C15777"/>
    <w:rsid w:val="00C15814"/>
    <w:rsid w:val="00C1585D"/>
    <w:rsid w:val="00C15971"/>
    <w:rsid w:val="00C15C9A"/>
    <w:rsid w:val="00C15FE5"/>
    <w:rsid w:val="00C161E0"/>
    <w:rsid w:val="00C16B45"/>
    <w:rsid w:val="00C16BE4"/>
    <w:rsid w:val="00C16DBE"/>
    <w:rsid w:val="00C16E8A"/>
    <w:rsid w:val="00C16ED0"/>
    <w:rsid w:val="00C170D8"/>
    <w:rsid w:val="00C17462"/>
    <w:rsid w:val="00C17DC9"/>
    <w:rsid w:val="00C20D71"/>
    <w:rsid w:val="00C2103E"/>
    <w:rsid w:val="00C210FA"/>
    <w:rsid w:val="00C21147"/>
    <w:rsid w:val="00C21173"/>
    <w:rsid w:val="00C212D0"/>
    <w:rsid w:val="00C21442"/>
    <w:rsid w:val="00C21700"/>
    <w:rsid w:val="00C21EA9"/>
    <w:rsid w:val="00C21F33"/>
    <w:rsid w:val="00C21FD7"/>
    <w:rsid w:val="00C220E2"/>
    <w:rsid w:val="00C22616"/>
    <w:rsid w:val="00C22B49"/>
    <w:rsid w:val="00C22ECC"/>
    <w:rsid w:val="00C232F0"/>
    <w:rsid w:val="00C233D8"/>
    <w:rsid w:val="00C2359E"/>
    <w:rsid w:val="00C236DC"/>
    <w:rsid w:val="00C23855"/>
    <w:rsid w:val="00C23DCD"/>
    <w:rsid w:val="00C24668"/>
    <w:rsid w:val="00C24999"/>
    <w:rsid w:val="00C25031"/>
    <w:rsid w:val="00C2538B"/>
    <w:rsid w:val="00C25D80"/>
    <w:rsid w:val="00C25D8D"/>
    <w:rsid w:val="00C265A7"/>
    <w:rsid w:val="00C265B6"/>
    <w:rsid w:val="00C26967"/>
    <w:rsid w:val="00C27133"/>
    <w:rsid w:val="00C272BB"/>
    <w:rsid w:val="00C2743B"/>
    <w:rsid w:val="00C27670"/>
    <w:rsid w:val="00C303B1"/>
    <w:rsid w:val="00C30936"/>
    <w:rsid w:val="00C30B0B"/>
    <w:rsid w:val="00C310A6"/>
    <w:rsid w:val="00C3186E"/>
    <w:rsid w:val="00C31D63"/>
    <w:rsid w:val="00C31E90"/>
    <w:rsid w:val="00C327D9"/>
    <w:rsid w:val="00C3288A"/>
    <w:rsid w:val="00C32919"/>
    <w:rsid w:val="00C32B93"/>
    <w:rsid w:val="00C32D3C"/>
    <w:rsid w:val="00C32D98"/>
    <w:rsid w:val="00C32E73"/>
    <w:rsid w:val="00C33707"/>
    <w:rsid w:val="00C33A14"/>
    <w:rsid w:val="00C33D62"/>
    <w:rsid w:val="00C3416C"/>
    <w:rsid w:val="00C342AD"/>
    <w:rsid w:val="00C343A3"/>
    <w:rsid w:val="00C349EA"/>
    <w:rsid w:val="00C34A75"/>
    <w:rsid w:val="00C34ACC"/>
    <w:rsid w:val="00C35D26"/>
    <w:rsid w:val="00C3630F"/>
    <w:rsid w:val="00C364D1"/>
    <w:rsid w:val="00C36A9C"/>
    <w:rsid w:val="00C36B15"/>
    <w:rsid w:val="00C36B9D"/>
    <w:rsid w:val="00C36C89"/>
    <w:rsid w:val="00C37868"/>
    <w:rsid w:val="00C37FA2"/>
    <w:rsid w:val="00C404B2"/>
    <w:rsid w:val="00C40B42"/>
    <w:rsid w:val="00C41532"/>
    <w:rsid w:val="00C41B13"/>
    <w:rsid w:val="00C4201D"/>
    <w:rsid w:val="00C42496"/>
    <w:rsid w:val="00C429DA"/>
    <w:rsid w:val="00C42F56"/>
    <w:rsid w:val="00C430A6"/>
    <w:rsid w:val="00C430B6"/>
    <w:rsid w:val="00C430B7"/>
    <w:rsid w:val="00C4329D"/>
    <w:rsid w:val="00C4364A"/>
    <w:rsid w:val="00C43A71"/>
    <w:rsid w:val="00C43CF9"/>
    <w:rsid w:val="00C446FB"/>
    <w:rsid w:val="00C448EB"/>
    <w:rsid w:val="00C4535A"/>
    <w:rsid w:val="00C45AB4"/>
    <w:rsid w:val="00C46178"/>
    <w:rsid w:val="00C46C8F"/>
    <w:rsid w:val="00C4708B"/>
    <w:rsid w:val="00C47677"/>
    <w:rsid w:val="00C4779F"/>
    <w:rsid w:val="00C477BC"/>
    <w:rsid w:val="00C47DF3"/>
    <w:rsid w:val="00C500FD"/>
    <w:rsid w:val="00C501C1"/>
    <w:rsid w:val="00C501E4"/>
    <w:rsid w:val="00C50AF8"/>
    <w:rsid w:val="00C50D3A"/>
    <w:rsid w:val="00C50DA5"/>
    <w:rsid w:val="00C50FCD"/>
    <w:rsid w:val="00C51113"/>
    <w:rsid w:val="00C51464"/>
    <w:rsid w:val="00C519FA"/>
    <w:rsid w:val="00C51A2D"/>
    <w:rsid w:val="00C5259B"/>
    <w:rsid w:val="00C52940"/>
    <w:rsid w:val="00C52946"/>
    <w:rsid w:val="00C52B81"/>
    <w:rsid w:val="00C53149"/>
    <w:rsid w:val="00C53550"/>
    <w:rsid w:val="00C53631"/>
    <w:rsid w:val="00C536C5"/>
    <w:rsid w:val="00C53AB0"/>
    <w:rsid w:val="00C54582"/>
    <w:rsid w:val="00C54724"/>
    <w:rsid w:val="00C54ECF"/>
    <w:rsid w:val="00C54F60"/>
    <w:rsid w:val="00C54FAA"/>
    <w:rsid w:val="00C55503"/>
    <w:rsid w:val="00C561F5"/>
    <w:rsid w:val="00C5692C"/>
    <w:rsid w:val="00C56A35"/>
    <w:rsid w:val="00C56B54"/>
    <w:rsid w:val="00C56C25"/>
    <w:rsid w:val="00C56CA6"/>
    <w:rsid w:val="00C56EDD"/>
    <w:rsid w:val="00C56F57"/>
    <w:rsid w:val="00C57A8C"/>
    <w:rsid w:val="00C57EF4"/>
    <w:rsid w:val="00C605A4"/>
    <w:rsid w:val="00C607DD"/>
    <w:rsid w:val="00C60AA6"/>
    <w:rsid w:val="00C60BC3"/>
    <w:rsid w:val="00C6100D"/>
    <w:rsid w:val="00C610DD"/>
    <w:rsid w:val="00C61599"/>
    <w:rsid w:val="00C615DD"/>
    <w:rsid w:val="00C6181F"/>
    <w:rsid w:val="00C61C2C"/>
    <w:rsid w:val="00C61D75"/>
    <w:rsid w:val="00C625D2"/>
    <w:rsid w:val="00C6287D"/>
    <w:rsid w:val="00C62EEE"/>
    <w:rsid w:val="00C631B6"/>
    <w:rsid w:val="00C6347C"/>
    <w:rsid w:val="00C634E7"/>
    <w:rsid w:val="00C635FA"/>
    <w:rsid w:val="00C6406D"/>
    <w:rsid w:val="00C64218"/>
    <w:rsid w:val="00C6424A"/>
    <w:rsid w:val="00C646E2"/>
    <w:rsid w:val="00C64878"/>
    <w:rsid w:val="00C648DB"/>
    <w:rsid w:val="00C64A5A"/>
    <w:rsid w:val="00C64B39"/>
    <w:rsid w:val="00C64D07"/>
    <w:rsid w:val="00C64E00"/>
    <w:rsid w:val="00C64FC5"/>
    <w:rsid w:val="00C6539B"/>
    <w:rsid w:val="00C656DC"/>
    <w:rsid w:val="00C659D9"/>
    <w:rsid w:val="00C65A14"/>
    <w:rsid w:val="00C65BD3"/>
    <w:rsid w:val="00C65FD4"/>
    <w:rsid w:val="00C6663B"/>
    <w:rsid w:val="00C66893"/>
    <w:rsid w:val="00C66AEB"/>
    <w:rsid w:val="00C676FE"/>
    <w:rsid w:val="00C6783B"/>
    <w:rsid w:val="00C67CDA"/>
    <w:rsid w:val="00C67E01"/>
    <w:rsid w:val="00C701A8"/>
    <w:rsid w:val="00C7081F"/>
    <w:rsid w:val="00C70957"/>
    <w:rsid w:val="00C70DE9"/>
    <w:rsid w:val="00C70F10"/>
    <w:rsid w:val="00C70F71"/>
    <w:rsid w:val="00C70F81"/>
    <w:rsid w:val="00C710D0"/>
    <w:rsid w:val="00C718DF"/>
    <w:rsid w:val="00C71B4D"/>
    <w:rsid w:val="00C71C20"/>
    <w:rsid w:val="00C724F8"/>
    <w:rsid w:val="00C72502"/>
    <w:rsid w:val="00C72904"/>
    <w:rsid w:val="00C73382"/>
    <w:rsid w:val="00C734C6"/>
    <w:rsid w:val="00C73C37"/>
    <w:rsid w:val="00C73FC7"/>
    <w:rsid w:val="00C74763"/>
    <w:rsid w:val="00C75141"/>
    <w:rsid w:val="00C75520"/>
    <w:rsid w:val="00C755FD"/>
    <w:rsid w:val="00C75794"/>
    <w:rsid w:val="00C7580C"/>
    <w:rsid w:val="00C76398"/>
    <w:rsid w:val="00C7678D"/>
    <w:rsid w:val="00C76A8C"/>
    <w:rsid w:val="00C76B59"/>
    <w:rsid w:val="00C76D36"/>
    <w:rsid w:val="00C77B67"/>
    <w:rsid w:val="00C80796"/>
    <w:rsid w:val="00C80B26"/>
    <w:rsid w:val="00C811AB"/>
    <w:rsid w:val="00C8155A"/>
    <w:rsid w:val="00C8198C"/>
    <w:rsid w:val="00C81A0D"/>
    <w:rsid w:val="00C8210B"/>
    <w:rsid w:val="00C82667"/>
    <w:rsid w:val="00C82A17"/>
    <w:rsid w:val="00C8329C"/>
    <w:rsid w:val="00C8369C"/>
    <w:rsid w:val="00C839A9"/>
    <w:rsid w:val="00C839DC"/>
    <w:rsid w:val="00C83EC6"/>
    <w:rsid w:val="00C84193"/>
    <w:rsid w:val="00C841AE"/>
    <w:rsid w:val="00C842DC"/>
    <w:rsid w:val="00C844BD"/>
    <w:rsid w:val="00C84A02"/>
    <w:rsid w:val="00C85187"/>
    <w:rsid w:val="00C8535A"/>
    <w:rsid w:val="00C857AE"/>
    <w:rsid w:val="00C8618B"/>
    <w:rsid w:val="00C864AD"/>
    <w:rsid w:val="00C86594"/>
    <w:rsid w:val="00C875D1"/>
    <w:rsid w:val="00C87603"/>
    <w:rsid w:val="00C878C5"/>
    <w:rsid w:val="00C90337"/>
    <w:rsid w:val="00C90A73"/>
    <w:rsid w:val="00C90FF9"/>
    <w:rsid w:val="00C9112C"/>
    <w:rsid w:val="00C91444"/>
    <w:rsid w:val="00C92179"/>
    <w:rsid w:val="00C92277"/>
    <w:rsid w:val="00C92FB8"/>
    <w:rsid w:val="00C931B2"/>
    <w:rsid w:val="00C932F1"/>
    <w:rsid w:val="00C9351C"/>
    <w:rsid w:val="00C935C6"/>
    <w:rsid w:val="00C9368A"/>
    <w:rsid w:val="00C93C70"/>
    <w:rsid w:val="00C93CE4"/>
    <w:rsid w:val="00C93D81"/>
    <w:rsid w:val="00C941F0"/>
    <w:rsid w:val="00C94990"/>
    <w:rsid w:val="00C95214"/>
    <w:rsid w:val="00C95508"/>
    <w:rsid w:val="00C95804"/>
    <w:rsid w:val="00C959D2"/>
    <w:rsid w:val="00C966F5"/>
    <w:rsid w:val="00C96719"/>
    <w:rsid w:val="00C967B8"/>
    <w:rsid w:val="00C9689F"/>
    <w:rsid w:val="00C96B58"/>
    <w:rsid w:val="00C9707D"/>
    <w:rsid w:val="00C9734D"/>
    <w:rsid w:val="00C97477"/>
    <w:rsid w:val="00C97E10"/>
    <w:rsid w:val="00CA0286"/>
    <w:rsid w:val="00CA0388"/>
    <w:rsid w:val="00CA0C54"/>
    <w:rsid w:val="00CA18C5"/>
    <w:rsid w:val="00CA2125"/>
    <w:rsid w:val="00CA26BE"/>
    <w:rsid w:val="00CA27B3"/>
    <w:rsid w:val="00CA27BA"/>
    <w:rsid w:val="00CA2907"/>
    <w:rsid w:val="00CA29F4"/>
    <w:rsid w:val="00CA2F35"/>
    <w:rsid w:val="00CA37EC"/>
    <w:rsid w:val="00CA3BCC"/>
    <w:rsid w:val="00CA3CE9"/>
    <w:rsid w:val="00CA3DC5"/>
    <w:rsid w:val="00CA44D6"/>
    <w:rsid w:val="00CA4814"/>
    <w:rsid w:val="00CA52CD"/>
    <w:rsid w:val="00CA581B"/>
    <w:rsid w:val="00CA5C20"/>
    <w:rsid w:val="00CA63E7"/>
    <w:rsid w:val="00CA7364"/>
    <w:rsid w:val="00CA744A"/>
    <w:rsid w:val="00CA756D"/>
    <w:rsid w:val="00CA7A41"/>
    <w:rsid w:val="00CB06CF"/>
    <w:rsid w:val="00CB0E7C"/>
    <w:rsid w:val="00CB11E7"/>
    <w:rsid w:val="00CB120B"/>
    <w:rsid w:val="00CB13C8"/>
    <w:rsid w:val="00CB1511"/>
    <w:rsid w:val="00CB17C7"/>
    <w:rsid w:val="00CB185D"/>
    <w:rsid w:val="00CB21B8"/>
    <w:rsid w:val="00CB2A08"/>
    <w:rsid w:val="00CB2BF5"/>
    <w:rsid w:val="00CB2C83"/>
    <w:rsid w:val="00CB2F01"/>
    <w:rsid w:val="00CB3718"/>
    <w:rsid w:val="00CB41BF"/>
    <w:rsid w:val="00CB41F8"/>
    <w:rsid w:val="00CB4302"/>
    <w:rsid w:val="00CB43C7"/>
    <w:rsid w:val="00CB5B67"/>
    <w:rsid w:val="00CB5FEB"/>
    <w:rsid w:val="00CB6AD9"/>
    <w:rsid w:val="00CB6C97"/>
    <w:rsid w:val="00CB708F"/>
    <w:rsid w:val="00CB74D3"/>
    <w:rsid w:val="00CB7DAB"/>
    <w:rsid w:val="00CC0A34"/>
    <w:rsid w:val="00CC0B96"/>
    <w:rsid w:val="00CC0F4B"/>
    <w:rsid w:val="00CC0F92"/>
    <w:rsid w:val="00CC1368"/>
    <w:rsid w:val="00CC1952"/>
    <w:rsid w:val="00CC196C"/>
    <w:rsid w:val="00CC1AA9"/>
    <w:rsid w:val="00CC1AC6"/>
    <w:rsid w:val="00CC1C33"/>
    <w:rsid w:val="00CC1CCA"/>
    <w:rsid w:val="00CC1D3A"/>
    <w:rsid w:val="00CC1FF5"/>
    <w:rsid w:val="00CC27A1"/>
    <w:rsid w:val="00CC29A4"/>
    <w:rsid w:val="00CC3FA9"/>
    <w:rsid w:val="00CC4059"/>
    <w:rsid w:val="00CC4AC1"/>
    <w:rsid w:val="00CC537C"/>
    <w:rsid w:val="00CC5CE8"/>
    <w:rsid w:val="00CC5E5E"/>
    <w:rsid w:val="00CC617C"/>
    <w:rsid w:val="00CC670D"/>
    <w:rsid w:val="00CC67CE"/>
    <w:rsid w:val="00CC6BE4"/>
    <w:rsid w:val="00CC6CCE"/>
    <w:rsid w:val="00CC6EDE"/>
    <w:rsid w:val="00CC6F61"/>
    <w:rsid w:val="00CC73A4"/>
    <w:rsid w:val="00CD0545"/>
    <w:rsid w:val="00CD092D"/>
    <w:rsid w:val="00CD1A04"/>
    <w:rsid w:val="00CD2310"/>
    <w:rsid w:val="00CD235A"/>
    <w:rsid w:val="00CD2CFF"/>
    <w:rsid w:val="00CD2EC2"/>
    <w:rsid w:val="00CD2FCA"/>
    <w:rsid w:val="00CD3697"/>
    <w:rsid w:val="00CD3702"/>
    <w:rsid w:val="00CD3E6B"/>
    <w:rsid w:val="00CD3ED2"/>
    <w:rsid w:val="00CD4307"/>
    <w:rsid w:val="00CD4817"/>
    <w:rsid w:val="00CD48DC"/>
    <w:rsid w:val="00CD4B82"/>
    <w:rsid w:val="00CD4D63"/>
    <w:rsid w:val="00CD50E5"/>
    <w:rsid w:val="00CD5512"/>
    <w:rsid w:val="00CD564C"/>
    <w:rsid w:val="00CD586F"/>
    <w:rsid w:val="00CD67F0"/>
    <w:rsid w:val="00CD69F5"/>
    <w:rsid w:val="00CD6B21"/>
    <w:rsid w:val="00CD6B27"/>
    <w:rsid w:val="00CD6F58"/>
    <w:rsid w:val="00CD702C"/>
    <w:rsid w:val="00CD712C"/>
    <w:rsid w:val="00CD7872"/>
    <w:rsid w:val="00CD7AEF"/>
    <w:rsid w:val="00CE0447"/>
    <w:rsid w:val="00CE05FA"/>
    <w:rsid w:val="00CE0BA7"/>
    <w:rsid w:val="00CE1BBF"/>
    <w:rsid w:val="00CE214A"/>
    <w:rsid w:val="00CE2201"/>
    <w:rsid w:val="00CE2B20"/>
    <w:rsid w:val="00CE2C88"/>
    <w:rsid w:val="00CE2D68"/>
    <w:rsid w:val="00CE2E1B"/>
    <w:rsid w:val="00CE317B"/>
    <w:rsid w:val="00CE339D"/>
    <w:rsid w:val="00CE3C77"/>
    <w:rsid w:val="00CE4623"/>
    <w:rsid w:val="00CE50C3"/>
    <w:rsid w:val="00CE5109"/>
    <w:rsid w:val="00CE5F9F"/>
    <w:rsid w:val="00CE605F"/>
    <w:rsid w:val="00CE6127"/>
    <w:rsid w:val="00CE7013"/>
    <w:rsid w:val="00CE725C"/>
    <w:rsid w:val="00CE73E3"/>
    <w:rsid w:val="00CE74E1"/>
    <w:rsid w:val="00CE7801"/>
    <w:rsid w:val="00CE7FA3"/>
    <w:rsid w:val="00CF014B"/>
    <w:rsid w:val="00CF080B"/>
    <w:rsid w:val="00CF1150"/>
    <w:rsid w:val="00CF11E2"/>
    <w:rsid w:val="00CF125E"/>
    <w:rsid w:val="00CF1874"/>
    <w:rsid w:val="00CF18CA"/>
    <w:rsid w:val="00CF1EA5"/>
    <w:rsid w:val="00CF21D9"/>
    <w:rsid w:val="00CF2429"/>
    <w:rsid w:val="00CF27C9"/>
    <w:rsid w:val="00CF2ADA"/>
    <w:rsid w:val="00CF2B8D"/>
    <w:rsid w:val="00CF2D21"/>
    <w:rsid w:val="00CF336A"/>
    <w:rsid w:val="00CF36F3"/>
    <w:rsid w:val="00CF46F0"/>
    <w:rsid w:val="00CF4750"/>
    <w:rsid w:val="00CF4FAF"/>
    <w:rsid w:val="00CF50BC"/>
    <w:rsid w:val="00CF5122"/>
    <w:rsid w:val="00CF536A"/>
    <w:rsid w:val="00CF53A8"/>
    <w:rsid w:val="00CF5E2B"/>
    <w:rsid w:val="00CF5FF8"/>
    <w:rsid w:val="00CF6BB8"/>
    <w:rsid w:val="00CF708E"/>
    <w:rsid w:val="00CF715C"/>
    <w:rsid w:val="00CF72D9"/>
    <w:rsid w:val="00CF7863"/>
    <w:rsid w:val="00CF7917"/>
    <w:rsid w:val="00CF7BC6"/>
    <w:rsid w:val="00CF7C7A"/>
    <w:rsid w:val="00CF7FE2"/>
    <w:rsid w:val="00D003CF"/>
    <w:rsid w:val="00D00429"/>
    <w:rsid w:val="00D004E3"/>
    <w:rsid w:val="00D006F1"/>
    <w:rsid w:val="00D00FD0"/>
    <w:rsid w:val="00D01151"/>
    <w:rsid w:val="00D011F6"/>
    <w:rsid w:val="00D012BF"/>
    <w:rsid w:val="00D018A5"/>
    <w:rsid w:val="00D01938"/>
    <w:rsid w:val="00D02825"/>
    <w:rsid w:val="00D02A17"/>
    <w:rsid w:val="00D034A6"/>
    <w:rsid w:val="00D0366E"/>
    <w:rsid w:val="00D0383F"/>
    <w:rsid w:val="00D03855"/>
    <w:rsid w:val="00D03B93"/>
    <w:rsid w:val="00D03CF2"/>
    <w:rsid w:val="00D03E53"/>
    <w:rsid w:val="00D049E6"/>
    <w:rsid w:val="00D05248"/>
    <w:rsid w:val="00D053D5"/>
    <w:rsid w:val="00D056E1"/>
    <w:rsid w:val="00D05991"/>
    <w:rsid w:val="00D05A02"/>
    <w:rsid w:val="00D05DB7"/>
    <w:rsid w:val="00D05E4C"/>
    <w:rsid w:val="00D05FC1"/>
    <w:rsid w:val="00D05FD3"/>
    <w:rsid w:val="00D0616B"/>
    <w:rsid w:val="00D065B5"/>
    <w:rsid w:val="00D067F7"/>
    <w:rsid w:val="00D06C86"/>
    <w:rsid w:val="00D06E2C"/>
    <w:rsid w:val="00D06FC4"/>
    <w:rsid w:val="00D0733C"/>
    <w:rsid w:val="00D07602"/>
    <w:rsid w:val="00D07BC7"/>
    <w:rsid w:val="00D101DE"/>
    <w:rsid w:val="00D10339"/>
    <w:rsid w:val="00D10FE6"/>
    <w:rsid w:val="00D11949"/>
    <w:rsid w:val="00D11D26"/>
    <w:rsid w:val="00D121DE"/>
    <w:rsid w:val="00D123E2"/>
    <w:rsid w:val="00D12A7E"/>
    <w:rsid w:val="00D13361"/>
    <w:rsid w:val="00D135A8"/>
    <w:rsid w:val="00D135E7"/>
    <w:rsid w:val="00D13D5F"/>
    <w:rsid w:val="00D13FE1"/>
    <w:rsid w:val="00D143DF"/>
    <w:rsid w:val="00D14525"/>
    <w:rsid w:val="00D1476C"/>
    <w:rsid w:val="00D14AB0"/>
    <w:rsid w:val="00D14DC2"/>
    <w:rsid w:val="00D14E79"/>
    <w:rsid w:val="00D15B0F"/>
    <w:rsid w:val="00D160C3"/>
    <w:rsid w:val="00D1632C"/>
    <w:rsid w:val="00D17642"/>
    <w:rsid w:val="00D17A56"/>
    <w:rsid w:val="00D17B51"/>
    <w:rsid w:val="00D17BA2"/>
    <w:rsid w:val="00D17E2A"/>
    <w:rsid w:val="00D17F5D"/>
    <w:rsid w:val="00D206CE"/>
    <w:rsid w:val="00D207E0"/>
    <w:rsid w:val="00D20C76"/>
    <w:rsid w:val="00D20DCA"/>
    <w:rsid w:val="00D2163D"/>
    <w:rsid w:val="00D217D8"/>
    <w:rsid w:val="00D21C44"/>
    <w:rsid w:val="00D21E11"/>
    <w:rsid w:val="00D221E8"/>
    <w:rsid w:val="00D22279"/>
    <w:rsid w:val="00D22338"/>
    <w:rsid w:val="00D223AE"/>
    <w:rsid w:val="00D2256F"/>
    <w:rsid w:val="00D22917"/>
    <w:rsid w:val="00D23144"/>
    <w:rsid w:val="00D233BF"/>
    <w:rsid w:val="00D234C2"/>
    <w:rsid w:val="00D2362F"/>
    <w:rsid w:val="00D238D0"/>
    <w:rsid w:val="00D240C0"/>
    <w:rsid w:val="00D24115"/>
    <w:rsid w:val="00D241A9"/>
    <w:rsid w:val="00D24732"/>
    <w:rsid w:val="00D255AC"/>
    <w:rsid w:val="00D25649"/>
    <w:rsid w:val="00D258CB"/>
    <w:rsid w:val="00D25949"/>
    <w:rsid w:val="00D25A14"/>
    <w:rsid w:val="00D25AA1"/>
    <w:rsid w:val="00D25EAC"/>
    <w:rsid w:val="00D26091"/>
    <w:rsid w:val="00D263FB"/>
    <w:rsid w:val="00D2660E"/>
    <w:rsid w:val="00D26968"/>
    <w:rsid w:val="00D26AA1"/>
    <w:rsid w:val="00D27853"/>
    <w:rsid w:val="00D27B5C"/>
    <w:rsid w:val="00D27CEC"/>
    <w:rsid w:val="00D27D06"/>
    <w:rsid w:val="00D27F72"/>
    <w:rsid w:val="00D300BE"/>
    <w:rsid w:val="00D30A76"/>
    <w:rsid w:val="00D30C09"/>
    <w:rsid w:val="00D30D7B"/>
    <w:rsid w:val="00D30EC2"/>
    <w:rsid w:val="00D31336"/>
    <w:rsid w:val="00D319F7"/>
    <w:rsid w:val="00D31C64"/>
    <w:rsid w:val="00D31DF6"/>
    <w:rsid w:val="00D320F5"/>
    <w:rsid w:val="00D3212A"/>
    <w:rsid w:val="00D32367"/>
    <w:rsid w:val="00D327C2"/>
    <w:rsid w:val="00D327FF"/>
    <w:rsid w:val="00D32F85"/>
    <w:rsid w:val="00D330D6"/>
    <w:rsid w:val="00D33132"/>
    <w:rsid w:val="00D33670"/>
    <w:rsid w:val="00D339F7"/>
    <w:rsid w:val="00D33B12"/>
    <w:rsid w:val="00D33CC4"/>
    <w:rsid w:val="00D33E43"/>
    <w:rsid w:val="00D34248"/>
    <w:rsid w:val="00D3473B"/>
    <w:rsid w:val="00D34E3F"/>
    <w:rsid w:val="00D3509C"/>
    <w:rsid w:val="00D35256"/>
    <w:rsid w:val="00D35557"/>
    <w:rsid w:val="00D35722"/>
    <w:rsid w:val="00D35914"/>
    <w:rsid w:val="00D360F7"/>
    <w:rsid w:val="00D36E06"/>
    <w:rsid w:val="00D37073"/>
    <w:rsid w:val="00D3772B"/>
    <w:rsid w:val="00D37CB9"/>
    <w:rsid w:val="00D37E3A"/>
    <w:rsid w:val="00D409EF"/>
    <w:rsid w:val="00D40F4D"/>
    <w:rsid w:val="00D412B0"/>
    <w:rsid w:val="00D41A72"/>
    <w:rsid w:val="00D41DAE"/>
    <w:rsid w:val="00D41EB1"/>
    <w:rsid w:val="00D42454"/>
    <w:rsid w:val="00D42F00"/>
    <w:rsid w:val="00D433FA"/>
    <w:rsid w:val="00D437D8"/>
    <w:rsid w:val="00D43A46"/>
    <w:rsid w:val="00D43DC3"/>
    <w:rsid w:val="00D44054"/>
    <w:rsid w:val="00D44172"/>
    <w:rsid w:val="00D449E7"/>
    <w:rsid w:val="00D45837"/>
    <w:rsid w:val="00D459A3"/>
    <w:rsid w:val="00D46004"/>
    <w:rsid w:val="00D4654D"/>
    <w:rsid w:val="00D467CC"/>
    <w:rsid w:val="00D46BFA"/>
    <w:rsid w:val="00D471DF"/>
    <w:rsid w:val="00D47442"/>
    <w:rsid w:val="00D47628"/>
    <w:rsid w:val="00D47B9C"/>
    <w:rsid w:val="00D47C0B"/>
    <w:rsid w:val="00D47E75"/>
    <w:rsid w:val="00D50513"/>
    <w:rsid w:val="00D50C9E"/>
    <w:rsid w:val="00D50E8B"/>
    <w:rsid w:val="00D5111E"/>
    <w:rsid w:val="00D51226"/>
    <w:rsid w:val="00D51227"/>
    <w:rsid w:val="00D51BE0"/>
    <w:rsid w:val="00D51C37"/>
    <w:rsid w:val="00D51E6A"/>
    <w:rsid w:val="00D51F00"/>
    <w:rsid w:val="00D51F07"/>
    <w:rsid w:val="00D51F50"/>
    <w:rsid w:val="00D5232A"/>
    <w:rsid w:val="00D529B5"/>
    <w:rsid w:val="00D529BB"/>
    <w:rsid w:val="00D529CD"/>
    <w:rsid w:val="00D52D61"/>
    <w:rsid w:val="00D53061"/>
    <w:rsid w:val="00D53344"/>
    <w:rsid w:val="00D53499"/>
    <w:rsid w:val="00D53DAC"/>
    <w:rsid w:val="00D54E52"/>
    <w:rsid w:val="00D5597E"/>
    <w:rsid w:val="00D559A2"/>
    <w:rsid w:val="00D55A1E"/>
    <w:rsid w:val="00D55E0D"/>
    <w:rsid w:val="00D562EC"/>
    <w:rsid w:val="00D5652C"/>
    <w:rsid w:val="00D56FB3"/>
    <w:rsid w:val="00D5739E"/>
    <w:rsid w:val="00D57430"/>
    <w:rsid w:val="00D57940"/>
    <w:rsid w:val="00D57B1D"/>
    <w:rsid w:val="00D57B29"/>
    <w:rsid w:val="00D57BBF"/>
    <w:rsid w:val="00D57C5A"/>
    <w:rsid w:val="00D57E0C"/>
    <w:rsid w:val="00D57EBF"/>
    <w:rsid w:val="00D60084"/>
    <w:rsid w:val="00D60088"/>
    <w:rsid w:val="00D602EC"/>
    <w:rsid w:val="00D605C7"/>
    <w:rsid w:val="00D60950"/>
    <w:rsid w:val="00D60A78"/>
    <w:rsid w:val="00D60CBE"/>
    <w:rsid w:val="00D60EFD"/>
    <w:rsid w:val="00D610C9"/>
    <w:rsid w:val="00D6138E"/>
    <w:rsid w:val="00D618BD"/>
    <w:rsid w:val="00D62063"/>
    <w:rsid w:val="00D62369"/>
    <w:rsid w:val="00D629F2"/>
    <w:rsid w:val="00D62A9C"/>
    <w:rsid w:val="00D63538"/>
    <w:rsid w:val="00D63C27"/>
    <w:rsid w:val="00D64677"/>
    <w:rsid w:val="00D64C08"/>
    <w:rsid w:val="00D64D50"/>
    <w:rsid w:val="00D64D51"/>
    <w:rsid w:val="00D64DFB"/>
    <w:rsid w:val="00D6559E"/>
    <w:rsid w:val="00D65ACE"/>
    <w:rsid w:val="00D66344"/>
    <w:rsid w:val="00D6662F"/>
    <w:rsid w:val="00D6748B"/>
    <w:rsid w:val="00D6748F"/>
    <w:rsid w:val="00D67493"/>
    <w:rsid w:val="00D67650"/>
    <w:rsid w:val="00D7021A"/>
    <w:rsid w:val="00D70256"/>
    <w:rsid w:val="00D705F2"/>
    <w:rsid w:val="00D705FE"/>
    <w:rsid w:val="00D7069E"/>
    <w:rsid w:val="00D7094A"/>
    <w:rsid w:val="00D70A19"/>
    <w:rsid w:val="00D70DE1"/>
    <w:rsid w:val="00D71068"/>
    <w:rsid w:val="00D71404"/>
    <w:rsid w:val="00D71A10"/>
    <w:rsid w:val="00D71D28"/>
    <w:rsid w:val="00D7234C"/>
    <w:rsid w:val="00D726DA"/>
    <w:rsid w:val="00D72B2C"/>
    <w:rsid w:val="00D72CB5"/>
    <w:rsid w:val="00D7337C"/>
    <w:rsid w:val="00D734BD"/>
    <w:rsid w:val="00D7360A"/>
    <w:rsid w:val="00D73C29"/>
    <w:rsid w:val="00D74460"/>
    <w:rsid w:val="00D7494C"/>
    <w:rsid w:val="00D74A62"/>
    <w:rsid w:val="00D74B85"/>
    <w:rsid w:val="00D74BA0"/>
    <w:rsid w:val="00D754EF"/>
    <w:rsid w:val="00D7568A"/>
    <w:rsid w:val="00D75764"/>
    <w:rsid w:val="00D75BF5"/>
    <w:rsid w:val="00D75C07"/>
    <w:rsid w:val="00D7627E"/>
    <w:rsid w:val="00D7654C"/>
    <w:rsid w:val="00D768DA"/>
    <w:rsid w:val="00D769B7"/>
    <w:rsid w:val="00D76E19"/>
    <w:rsid w:val="00D76F58"/>
    <w:rsid w:val="00D7734D"/>
    <w:rsid w:val="00D7796F"/>
    <w:rsid w:val="00D77E1B"/>
    <w:rsid w:val="00D77E85"/>
    <w:rsid w:val="00D80098"/>
    <w:rsid w:val="00D804B9"/>
    <w:rsid w:val="00D80F55"/>
    <w:rsid w:val="00D8126D"/>
    <w:rsid w:val="00D813A3"/>
    <w:rsid w:val="00D815C8"/>
    <w:rsid w:val="00D82442"/>
    <w:rsid w:val="00D8245A"/>
    <w:rsid w:val="00D82567"/>
    <w:rsid w:val="00D82B2D"/>
    <w:rsid w:val="00D82B45"/>
    <w:rsid w:val="00D82D41"/>
    <w:rsid w:val="00D82DB4"/>
    <w:rsid w:val="00D8300D"/>
    <w:rsid w:val="00D83B7A"/>
    <w:rsid w:val="00D83CFA"/>
    <w:rsid w:val="00D83D11"/>
    <w:rsid w:val="00D83E66"/>
    <w:rsid w:val="00D845D6"/>
    <w:rsid w:val="00D84A92"/>
    <w:rsid w:val="00D84E8C"/>
    <w:rsid w:val="00D84EA2"/>
    <w:rsid w:val="00D852C3"/>
    <w:rsid w:val="00D8574A"/>
    <w:rsid w:val="00D85997"/>
    <w:rsid w:val="00D8607E"/>
    <w:rsid w:val="00D860A4"/>
    <w:rsid w:val="00D86729"/>
    <w:rsid w:val="00D867EE"/>
    <w:rsid w:val="00D86A4A"/>
    <w:rsid w:val="00D86B78"/>
    <w:rsid w:val="00D87169"/>
    <w:rsid w:val="00D871B0"/>
    <w:rsid w:val="00D872E6"/>
    <w:rsid w:val="00D874B6"/>
    <w:rsid w:val="00D879DF"/>
    <w:rsid w:val="00D87C0E"/>
    <w:rsid w:val="00D90408"/>
    <w:rsid w:val="00D90CBE"/>
    <w:rsid w:val="00D91344"/>
    <w:rsid w:val="00D91E86"/>
    <w:rsid w:val="00D927A2"/>
    <w:rsid w:val="00D92810"/>
    <w:rsid w:val="00D92C41"/>
    <w:rsid w:val="00D92E37"/>
    <w:rsid w:val="00D933A0"/>
    <w:rsid w:val="00D933F2"/>
    <w:rsid w:val="00D93456"/>
    <w:rsid w:val="00D93625"/>
    <w:rsid w:val="00D938A9"/>
    <w:rsid w:val="00D939DA"/>
    <w:rsid w:val="00D93F0D"/>
    <w:rsid w:val="00D94016"/>
    <w:rsid w:val="00D94465"/>
    <w:rsid w:val="00D9468D"/>
    <w:rsid w:val="00D947FD"/>
    <w:rsid w:val="00D94DD6"/>
    <w:rsid w:val="00D94FD1"/>
    <w:rsid w:val="00D9530F"/>
    <w:rsid w:val="00D95854"/>
    <w:rsid w:val="00D959AA"/>
    <w:rsid w:val="00D95CEF"/>
    <w:rsid w:val="00D96C1B"/>
    <w:rsid w:val="00D97187"/>
    <w:rsid w:val="00D97189"/>
    <w:rsid w:val="00D9745D"/>
    <w:rsid w:val="00D97502"/>
    <w:rsid w:val="00D97681"/>
    <w:rsid w:val="00D97971"/>
    <w:rsid w:val="00D97D9E"/>
    <w:rsid w:val="00DA05C4"/>
    <w:rsid w:val="00DA09B7"/>
    <w:rsid w:val="00DA0CDA"/>
    <w:rsid w:val="00DA1005"/>
    <w:rsid w:val="00DA1593"/>
    <w:rsid w:val="00DA15FB"/>
    <w:rsid w:val="00DA18B9"/>
    <w:rsid w:val="00DA1B09"/>
    <w:rsid w:val="00DA23F5"/>
    <w:rsid w:val="00DA27D9"/>
    <w:rsid w:val="00DA283E"/>
    <w:rsid w:val="00DA28D5"/>
    <w:rsid w:val="00DA2936"/>
    <w:rsid w:val="00DA2E84"/>
    <w:rsid w:val="00DA2EAB"/>
    <w:rsid w:val="00DA3107"/>
    <w:rsid w:val="00DA33BC"/>
    <w:rsid w:val="00DA386D"/>
    <w:rsid w:val="00DA3A43"/>
    <w:rsid w:val="00DA45AF"/>
    <w:rsid w:val="00DA498B"/>
    <w:rsid w:val="00DA4A00"/>
    <w:rsid w:val="00DA5508"/>
    <w:rsid w:val="00DA5854"/>
    <w:rsid w:val="00DA60DB"/>
    <w:rsid w:val="00DA6236"/>
    <w:rsid w:val="00DA6600"/>
    <w:rsid w:val="00DA6D3A"/>
    <w:rsid w:val="00DA6E05"/>
    <w:rsid w:val="00DA7255"/>
    <w:rsid w:val="00DA7467"/>
    <w:rsid w:val="00DA7DE8"/>
    <w:rsid w:val="00DB04AB"/>
    <w:rsid w:val="00DB089E"/>
    <w:rsid w:val="00DB0985"/>
    <w:rsid w:val="00DB14A3"/>
    <w:rsid w:val="00DB15C7"/>
    <w:rsid w:val="00DB1DD1"/>
    <w:rsid w:val="00DB2220"/>
    <w:rsid w:val="00DB2418"/>
    <w:rsid w:val="00DB27A2"/>
    <w:rsid w:val="00DB2996"/>
    <w:rsid w:val="00DB2B79"/>
    <w:rsid w:val="00DB30FB"/>
    <w:rsid w:val="00DB35CD"/>
    <w:rsid w:val="00DB3D9D"/>
    <w:rsid w:val="00DB3F1E"/>
    <w:rsid w:val="00DB413C"/>
    <w:rsid w:val="00DB4142"/>
    <w:rsid w:val="00DB4173"/>
    <w:rsid w:val="00DB46B1"/>
    <w:rsid w:val="00DB489A"/>
    <w:rsid w:val="00DB50A4"/>
    <w:rsid w:val="00DB533E"/>
    <w:rsid w:val="00DB5987"/>
    <w:rsid w:val="00DB6152"/>
    <w:rsid w:val="00DB650C"/>
    <w:rsid w:val="00DB66F7"/>
    <w:rsid w:val="00DB6800"/>
    <w:rsid w:val="00DB6A6C"/>
    <w:rsid w:val="00DB6E89"/>
    <w:rsid w:val="00DB6F8F"/>
    <w:rsid w:val="00DB7434"/>
    <w:rsid w:val="00DB778A"/>
    <w:rsid w:val="00DB7E11"/>
    <w:rsid w:val="00DC0A6E"/>
    <w:rsid w:val="00DC0BEA"/>
    <w:rsid w:val="00DC1149"/>
    <w:rsid w:val="00DC116F"/>
    <w:rsid w:val="00DC140C"/>
    <w:rsid w:val="00DC14AB"/>
    <w:rsid w:val="00DC14D4"/>
    <w:rsid w:val="00DC22EE"/>
    <w:rsid w:val="00DC23BD"/>
    <w:rsid w:val="00DC2E49"/>
    <w:rsid w:val="00DC2E7E"/>
    <w:rsid w:val="00DC3443"/>
    <w:rsid w:val="00DC3534"/>
    <w:rsid w:val="00DC36F0"/>
    <w:rsid w:val="00DC46E1"/>
    <w:rsid w:val="00DC47C1"/>
    <w:rsid w:val="00DC4851"/>
    <w:rsid w:val="00DC4D3F"/>
    <w:rsid w:val="00DC4E2E"/>
    <w:rsid w:val="00DC4EA2"/>
    <w:rsid w:val="00DC5470"/>
    <w:rsid w:val="00DC55C2"/>
    <w:rsid w:val="00DC5644"/>
    <w:rsid w:val="00DC580C"/>
    <w:rsid w:val="00DC5EED"/>
    <w:rsid w:val="00DC5FB8"/>
    <w:rsid w:val="00DC69B1"/>
    <w:rsid w:val="00DC69EF"/>
    <w:rsid w:val="00DC6CF6"/>
    <w:rsid w:val="00DC7251"/>
    <w:rsid w:val="00DC7567"/>
    <w:rsid w:val="00DC7DCF"/>
    <w:rsid w:val="00DD0011"/>
    <w:rsid w:val="00DD00F9"/>
    <w:rsid w:val="00DD029A"/>
    <w:rsid w:val="00DD0DCA"/>
    <w:rsid w:val="00DD10EA"/>
    <w:rsid w:val="00DD1356"/>
    <w:rsid w:val="00DD156A"/>
    <w:rsid w:val="00DD167E"/>
    <w:rsid w:val="00DD16EA"/>
    <w:rsid w:val="00DD1A1E"/>
    <w:rsid w:val="00DD1FA5"/>
    <w:rsid w:val="00DD27FF"/>
    <w:rsid w:val="00DD29E2"/>
    <w:rsid w:val="00DD32D6"/>
    <w:rsid w:val="00DD3872"/>
    <w:rsid w:val="00DD44E2"/>
    <w:rsid w:val="00DD4F19"/>
    <w:rsid w:val="00DD562E"/>
    <w:rsid w:val="00DD5E64"/>
    <w:rsid w:val="00DD6407"/>
    <w:rsid w:val="00DD6773"/>
    <w:rsid w:val="00DD6800"/>
    <w:rsid w:val="00DD786C"/>
    <w:rsid w:val="00DD79B8"/>
    <w:rsid w:val="00DD7A29"/>
    <w:rsid w:val="00DD7C34"/>
    <w:rsid w:val="00DD7C3A"/>
    <w:rsid w:val="00DE00D8"/>
    <w:rsid w:val="00DE019A"/>
    <w:rsid w:val="00DE1195"/>
    <w:rsid w:val="00DE15CA"/>
    <w:rsid w:val="00DE20C4"/>
    <w:rsid w:val="00DE2542"/>
    <w:rsid w:val="00DE27ED"/>
    <w:rsid w:val="00DE282F"/>
    <w:rsid w:val="00DE296A"/>
    <w:rsid w:val="00DE29D4"/>
    <w:rsid w:val="00DE2C2C"/>
    <w:rsid w:val="00DE2D93"/>
    <w:rsid w:val="00DE3026"/>
    <w:rsid w:val="00DE3068"/>
    <w:rsid w:val="00DE330D"/>
    <w:rsid w:val="00DE3B2B"/>
    <w:rsid w:val="00DE3E86"/>
    <w:rsid w:val="00DE3F18"/>
    <w:rsid w:val="00DE40DD"/>
    <w:rsid w:val="00DE48B6"/>
    <w:rsid w:val="00DE588E"/>
    <w:rsid w:val="00DE686B"/>
    <w:rsid w:val="00DE6B45"/>
    <w:rsid w:val="00DE73B8"/>
    <w:rsid w:val="00DE7C59"/>
    <w:rsid w:val="00DE7D7F"/>
    <w:rsid w:val="00DF0163"/>
    <w:rsid w:val="00DF043F"/>
    <w:rsid w:val="00DF0A2C"/>
    <w:rsid w:val="00DF0A30"/>
    <w:rsid w:val="00DF0E83"/>
    <w:rsid w:val="00DF0E89"/>
    <w:rsid w:val="00DF1389"/>
    <w:rsid w:val="00DF13B4"/>
    <w:rsid w:val="00DF1522"/>
    <w:rsid w:val="00DF1635"/>
    <w:rsid w:val="00DF1F45"/>
    <w:rsid w:val="00DF24E4"/>
    <w:rsid w:val="00DF2FA0"/>
    <w:rsid w:val="00DF340A"/>
    <w:rsid w:val="00DF3ECD"/>
    <w:rsid w:val="00DF4112"/>
    <w:rsid w:val="00DF5630"/>
    <w:rsid w:val="00DF5837"/>
    <w:rsid w:val="00DF5C55"/>
    <w:rsid w:val="00DF6BB7"/>
    <w:rsid w:val="00DF6F01"/>
    <w:rsid w:val="00DF736D"/>
    <w:rsid w:val="00DF775A"/>
    <w:rsid w:val="00DF7C3B"/>
    <w:rsid w:val="00DF7F6A"/>
    <w:rsid w:val="00E0023C"/>
    <w:rsid w:val="00E00373"/>
    <w:rsid w:val="00E009E8"/>
    <w:rsid w:val="00E00CF1"/>
    <w:rsid w:val="00E00D4A"/>
    <w:rsid w:val="00E00E4A"/>
    <w:rsid w:val="00E00F52"/>
    <w:rsid w:val="00E01599"/>
    <w:rsid w:val="00E015DC"/>
    <w:rsid w:val="00E016B4"/>
    <w:rsid w:val="00E01CFF"/>
    <w:rsid w:val="00E02961"/>
    <w:rsid w:val="00E02A89"/>
    <w:rsid w:val="00E02A8A"/>
    <w:rsid w:val="00E02C79"/>
    <w:rsid w:val="00E02F5A"/>
    <w:rsid w:val="00E03958"/>
    <w:rsid w:val="00E03E22"/>
    <w:rsid w:val="00E03E81"/>
    <w:rsid w:val="00E0438D"/>
    <w:rsid w:val="00E0456C"/>
    <w:rsid w:val="00E0486F"/>
    <w:rsid w:val="00E04F60"/>
    <w:rsid w:val="00E05605"/>
    <w:rsid w:val="00E0563D"/>
    <w:rsid w:val="00E05ACA"/>
    <w:rsid w:val="00E05B77"/>
    <w:rsid w:val="00E05CC4"/>
    <w:rsid w:val="00E06896"/>
    <w:rsid w:val="00E06F02"/>
    <w:rsid w:val="00E07378"/>
    <w:rsid w:val="00E078E7"/>
    <w:rsid w:val="00E07CA0"/>
    <w:rsid w:val="00E07DCF"/>
    <w:rsid w:val="00E11391"/>
    <w:rsid w:val="00E1171D"/>
    <w:rsid w:val="00E11999"/>
    <w:rsid w:val="00E119C6"/>
    <w:rsid w:val="00E11C43"/>
    <w:rsid w:val="00E11D81"/>
    <w:rsid w:val="00E11E75"/>
    <w:rsid w:val="00E124E3"/>
    <w:rsid w:val="00E12682"/>
    <w:rsid w:val="00E12699"/>
    <w:rsid w:val="00E126BB"/>
    <w:rsid w:val="00E12F55"/>
    <w:rsid w:val="00E12F84"/>
    <w:rsid w:val="00E1304F"/>
    <w:rsid w:val="00E1326A"/>
    <w:rsid w:val="00E13AA6"/>
    <w:rsid w:val="00E13B87"/>
    <w:rsid w:val="00E13E9F"/>
    <w:rsid w:val="00E14040"/>
    <w:rsid w:val="00E140CC"/>
    <w:rsid w:val="00E1452E"/>
    <w:rsid w:val="00E145F2"/>
    <w:rsid w:val="00E14910"/>
    <w:rsid w:val="00E14F12"/>
    <w:rsid w:val="00E15675"/>
    <w:rsid w:val="00E15BD5"/>
    <w:rsid w:val="00E16337"/>
    <w:rsid w:val="00E16646"/>
    <w:rsid w:val="00E16B8D"/>
    <w:rsid w:val="00E17A44"/>
    <w:rsid w:val="00E17E5F"/>
    <w:rsid w:val="00E20237"/>
    <w:rsid w:val="00E202BB"/>
    <w:rsid w:val="00E202D5"/>
    <w:rsid w:val="00E20418"/>
    <w:rsid w:val="00E20452"/>
    <w:rsid w:val="00E2063E"/>
    <w:rsid w:val="00E20BF7"/>
    <w:rsid w:val="00E21446"/>
    <w:rsid w:val="00E21C45"/>
    <w:rsid w:val="00E21D39"/>
    <w:rsid w:val="00E225C8"/>
    <w:rsid w:val="00E226DA"/>
    <w:rsid w:val="00E22B16"/>
    <w:rsid w:val="00E236A5"/>
    <w:rsid w:val="00E23955"/>
    <w:rsid w:val="00E23E3D"/>
    <w:rsid w:val="00E23F25"/>
    <w:rsid w:val="00E2470D"/>
    <w:rsid w:val="00E25064"/>
    <w:rsid w:val="00E2512B"/>
    <w:rsid w:val="00E2553D"/>
    <w:rsid w:val="00E25B19"/>
    <w:rsid w:val="00E25B98"/>
    <w:rsid w:val="00E268EE"/>
    <w:rsid w:val="00E277D9"/>
    <w:rsid w:val="00E27C17"/>
    <w:rsid w:val="00E300FF"/>
    <w:rsid w:val="00E309E2"/>
    <w:rsid w:val="00E320A5"/>
    <w:rsid w:val="00E3219B"/>
    <w:rsid w:val="00E32672"/>
    <w:rsid w:val="00E32728"/>
    <w:rsid w:val="00E32B77"/>
    <w:rsid w:val="00E32CBD"/>
    <w:rsid w:val="00E33077"/>
    <w:rsid w:val="00E33AD5"/>
    <w:rsid w:val="00E33C49"/>
    <w:rsid w:val="00E33E51"/>
    <w:rsid w:val="00E3422D"/>
    <w:rsid w:val="00E3428F"/>
    <w:rsid w:val="00E344B6"/>
    <w:rsid w:val="00E34636"/>
    <w:rsid w:val="00E348A7"/>
    <w:rsid w:val="00E34B48"/>
    <w:rsid w:val="00E34D88"/>
    <w:rsid w:val="00E3557E"/>
    <w:rsid w:val="00E35CF4"/>
    <w:rsid w:val="00E35EA9"/>
    <w:rsid w:val="00E3665B"/>
    <w:rsid w:val="00E36884"/>
    <w:rsid w:val="00E37F3E"/>
    <w:rsid w:val="00E37FC9"/>
    <w:rsid w:val="00E40CA7"/>
    <w:rsid w:val="00E40D46"/>
    <w:rsid w:val="00E40E2D"/>
    <w:rsid w:val="00E40E3C"/>
    <w:rsid w:val="00E4105C"/>
    <w:rsid w:val="00E41244"/>
    <w:rsid w:val="00E4181C"/>
    <w:rsid w:val="00E42059"/>
    <w:rsid w:val="00E4205C"/>
    <w:rsid w:val="00E42DFB"/>
    <w:rsid w:val="00E42E25"/>
    <w:rsid w:val="00E431BF"/>
    <w:rsid w:val="00E434C6"/>
    <w:rsid w:val="00E43743"/>
    <w:rsid w:val="00E43837"/>
    <w:rsid w:val="00E43BC2"/>
    <w:rsid w:val="00E43D8E"/>
    <w:rsid w:val="00E44284"/>
    <w:rsid w:val="00E444C8"/>
    <w:rsid w:val="00E44B87"/>
    <w:rsid w:val="00E44C60"/>
    <w:rsid w:val="00E44D0D"/>
    <w:rsid w:val="00E44EAA"/>
    <w:rsid w:val="00E450DF"/>
    <w:rsid w:val="00E45305"/>
    <w:rsid w:val="00E4557E"/>
    <w:rsid w:val="00E455F1"/>
    <w:rsid w:val="00E459CF"/>
    <w:rsid w:val="00E45C26"/>
    <w:rsid w:val="00E45DBA"/>
    <w:rsid w:val="00E462DB"/>
    <w:rsid w:val="00E4636B"/>
    <w:rsid w:val="00E467C2"/>
    <w:rsid w:val="00E46839"/>
    <w:rsid w:val="00E46985"/>
    <w:rsid w:val="00E469D7"/>
    <w:rsid w:val="00E46B04"/>
    <w:rsid w:val="00E46C2E"/>
    <w:rsid w:val="00E46F59"/>
    <w:rsid w:val="00E474F6"/>
    <w:rsid w:val="00E47674"/>
    <w:rsid w:val="00E47B9F"/>
    <w:rsid w:val="00E47D42"/>
    <w:rsid w:val="00E47DA7"/>
    <w:rsid w:val="00E47E33"/>
    <w:rsid w:val="00E502A2"/>
    <w:rsid w:val="00E50990"/>
    <w:rsid w:val="00E50BF1"/>
    <w:rsid w:val="00E50BFF"/>
    <w:rsid w:val="00E50E81"/>
    <w:rsid w:val="00E512E9"/>
    <w:rsid w:val="00E5157B"/>
    <w:rsid w:val="00E51F04"/>
    <w:rsid w:val="00E52AD1"/>
    <w:rsid w:val="00E52DFD"/>
    <w:rsid w:val="00E53031"/>
    <w:rsid w:val="00E53763"/>
    <w:rsid w:val="00E537C5"/>
    <w:rsid w:val="00E53CB4"/>
    <w:rsid w:val="00E53D2D"/>
    <w:rsid w:val="00E53FF8"/>
    <w:rsid w:val="00E546A3"/>
    <w:rsid w:val="00E54807"/>
    <w:rsid w:val="00E548F2"/>
    <w:rsid w:val="00E54951"/>
    <w:rsid w:val="00E549CB"/>
    <w:rsid w:val="00E54EC8"/>
    <w:rsid w:val="00E5563B"/>
    <w:rsid w:val="00E55905"/>
    <w:rsid w:val="00E561D5"/>
    <w:rsid w:val="00E562F9"/>
    <w:rsid w:val="00E56A96"/>
    <w:rsid w:val="00E57324"/>
    <w:rsid w:val="00E573DE"/>
    <w:rsid w:val="00E575FD"/>
    <w:rsid w:val="00E57AA0"/>
    <w:rsid w:val="00E57B18"/>
    <w:rsid w:val="00E57C32"/>
    <w:rsid w:val="00E57F48"/>
    <w:rsid w:val="00E60726"/>
    <w:rsid w:val="00E6108C"/>
    <w:rsid w:val="00E61300"/>
    <w:rsid w:val="00E61443"/>
    <w:rsid w:val="00E614D4"/>
    <w:rsid w:val="00E614F8"/>
    <w:rsid w:val="00E61682"/>
    <w:rsid w:val="00E61697"/>
    <w:rsid w:val="00E6174B"/>
    <w:rsid w:val="00E61BD1"/>
    <w:rsid w:val="00E61DF4"/>
    <w:rsid w:val="00E62287"/>
    <w:rsid w:val="00E62422"/>
    <w:rsid w:val="00E625A0"/>
    <w:rsid w:val="00E625A3"/>
    <w:rsid w:val="00E62CF1"/>
    <w:rsid w:val="00E6314A"/>
    <w:rsid w:val="00E63F57"/>
    <w:rsid w:val="00E64164"/>
    <w:rsid w:val="00E642D0"/>
    <w:rsid w:val="00E64359"/>
    <w:rsid w:val="00E645D5"/>
    <w:rsid w:val="00E64686"/>
    <w:rsid w:val="00E64897"/>
    <w:rsid w:val="00E649EF"/>
    <w:rsid w:val="00E64A4B"/>
    <w:rsid w:val="00E64F2C"/>
    <w:rsid w:val="00E64FFB"/>
    <w:rsid w:val="00E65883"/>
    <w:rsid w:val="00E66026"/>
    <w:rsid w:val="00E6606D"/>
    <w:rsid w:val="00E6609B"/>
    <w:rsid w:val="00E66346"/>
    <w:rsid w:val="00E6661C"/>
    <w:rsid w:val="00E66BB0"/>
    <w:rsid w:val="00E66D06"/>
    <w:rsid w:val="00E672C2"/>
    <w:rsid w:val="00E67493"/>
    <w:rsid w:val="00E675D8"/>
    <w:rsid w:val="00E67744"/>
    <w:rsid w:val="00E6793D"/>
    <w:rsid w:val="00E67AEA"/>
    <w:rsid w:val="00E67BB4"/>
    <w:rsid w:val="00E67C8F"/>
    <w:rsid w:val="00E67F04"/>
    <w:rsid w:val="00E700E2"/>
    <w:rsid w:val="00E700F1"/>
    <w:rsid w:val="00E70299"/>
    <w:rsid w:val="00E7029A"/>
    <w:rsid w:val="00E70859"/>
    <w:rsid w:val="00E70F8D"/>
    <w:rsid w:val="00E71318"/>
    <w:rsid w:val="00E71492"/>
    <w:rsid w:val="00E7187A"/>
    <w:rsid w:val="00E7192F"/>
    <w:rsid w:val="00E72661"/>
    <w:rsid w:val="00E7266A"/>
    <w:rsid w:val="00E729CF"/>
    <w:rsid w:val="00E72A77"/>
    <w:rsid w:val="00E72A7D"/>
    <w:rsid w:val="00E732C1"/>
    <w:rsid w:val="00E73A15"/>
    <w:rsid w:val="00E73DB9"/>
    <w:rsid w:val="00E745A1"/>
    <w:rsid w:val="00E748BE"/>
    <w:rsid w:val="00E7515F"/>
    <w:rsid w:val="00E75714"/>
    <w:rsid w:val="00E75B42"/>
    <w:rsid w:val="00E75F58"/>
    <w:rsid w:val="00E760BF"/>
    <w:rsid w:val="00E76260"/>
    <w:rsid w:val="00E765D6"/>
    <w:rsid w:val="00E7708A"/>
    <w:rsid w:val="00E80068"/>
    <w:rsid w:val="00E80176"/>
    <w:rsid w:val="00E80258"/>
    <w:rsid w:val="00E80ED6"/>
    <w:rsid w:val="00E8114D"/>
    <w:rsid w:val="00E814B8"/>
    <w:rsid w:val="00E81A70"/>
    <w:rsid w:val="00E82006"/>
    <w:rsid w:val="00E820F4"/>
    <w:rsid w:val="00E821A4"/>
    <w:rsid w:val="00E82459"/>
    <w:rsid w:val="00E826BB"/>
    <w:rsid w:val="00E82B37"/>
    <w:rsid w:val="00E82B97"/>
    <w:rsid w:val="00E82E4A"/>
    <w:rsid w:val="00E83085"/>
    <w:rsid w:val="00E8326C"/>
    <w:rsid w:val="00E837C3"/>
    <w:rsid w:val="00E8428D"/>
    <w:rsid w:val="00E842F1"/>
    <w:rsid w:val="00E84413"/>
    <w:rsid w:val="00E84428"/>
    <w:rsid w:val="00E846C6"/>
    <w:rsid w:val="00E848FB"/>
    <w:rsid w:val="00E84A48"/>
    <w:rsid w:val="00E84BF1"/>
    <w:rsid w:val="00E8503A"/>
    <w:rsid w:val="00E8505F"/>
    <w:rsid w:val="00E85344"/>
    <w:rsid w:val="00E8562B"/>
    <w:rsid w:val="00E858EB"/>
    <w:rsid w:val="00E8594E"/>
    <w:rsid w:val="00E85C2D"/>
    <w:rsid w:val="00E85D83"/>
    <w:rsid w:val="00E864CE"/>
    <w:rsid w:val="00E86505"/>
    <w:rsid w:val="00E86BBF"/>
    <w:rsid w:val="00E86C21"/>
    <w:rsid w:val="00E86DEC"/>
    <w:rsid w:val="00E87142"/>
    <w:rsid w:val="00E8E282"/>
    <w:rsid w:val="00E90207"/>
    <w:rsid w:val="00E908B2"/>
    <w:rsid w:val="00E90E07"/>
    <w:rsid w:val="00E912AF"/>
    <w:rsid w:val="00E913B7"/>
    <w:rsid w:val="00E9160B"/>
    <w:rsid w:val="00E91835"/>
    <w:rsid w:val="00E919F2"/>
    <w:rsid w:val="00E91A09"/>
    <w:rsid w:val="00E920E5"/>
    <w:rsid w:val="00E92B18"/>
    <w:rsid w:val="00E92CC0"/>
    <w:rsid w:val="00E9335D"/>
    <w:rsid w:val="00E9385D"/>
    <w:rsid w:val="00E93CA9"/>
    <w:rsid w:val="00E94563"/>
    <w:rsid w:val="00E94A38"/>
    <w:rsid w:val="00E94DAF"/>
    <w:rsid w:val="00E95DE4"/>
    <w:rsid w:val="00E9609A"/>
    <w:rsid w:val="00E96355"/>
    <w:rsid w:val="00E965B1"/>
    <w:rsid w:val="00E9683F"/>
    <w:rsid w:val="00E96A74"/>
    <w:rsid w:val="00E96E8C"/>
    <w:rsid w:val="00E9710C"/>
    <w:rsid w:val="00E97216"/>
    <w:rsid w:val="00E977E9"/>
    <w:rsid w:val="00E97935"/>
    <w:rsid w:val="00E97BF5"/>
    <w:rsid w:val="00E97E37"/>
    <w:rsid w:val="00EA09E6"/>
    <w:rsid w:val="00EA0EB1"/>
    <w:rsid w:val="00EA13C4"/>
    <w:rsid w:val="00EA14DC"/>
    <w:rsid w:val="00EA1944"/>
    <w:rsid w:val="00EA1B42"/>
    <w:rsid w:val="00EA1D6E"/>
    <w:rsid w:val="00EA217C"/>
    <w:rsid w:val="00EA2347"/>
    <w:rsid w:val="00EA2F59"/>
    <w:rsid w:val="00EA3322"/>
    <w:rsid w:val="00EA336C"/>
    <w:rsid w:val="00EA44FB"/>
    <w:rsid w:val="00EA492E"/>
    <w:rsid w:val="00EA4A05"/>
    <w:rsid w:val="00EA4ED2"/>
    <w:rsid w:val="00EA4F05"/>
    <w:rsid w:val="00EA4F4D"/>
    <w:rsid w:val="00EA53E9"/>
    <w:rsid w:val="00EA567C"/>
    <w:rsid w:val="00EA57BC"/>
    <w:rsid w:val="00EA5B6C"/>
    <w:rsid w:val="00EA5BEF"/>
    <w:rsid w:val="00EA5CBA"/>
    <w:rsid w:val="00EA5EE1"/>
    <w:rsid w:val="00EA6899"/>
    <w:rsid w:val="00EA6AAC"/>
    <w:rsid w:val="00EA6CCE"/>
    <w:rsid w:val="00EA6F4A"/>
    <w:rsid w:val="00EA7AB6"/>
    <w:rsid w:val="00EA7FF2"/>
    <w:rsid w:val="00EB07FB"/>
    <w:rsid w:val="00EB09CD"/>
    <w:rsid w:val="00EB11F6"/>
    <w:rsid w:val="00EB1B14"/>
    <w:rsid w:val="00EB1D68"/>
    <w:rsid w:val="00EB1D93"/>
    <w:rsid w:val="00EB200E"/>
    <w:rsid w:val="00EB21B9"/>
    <w:rsid w:val="00EB2232"/>
    <w:rsid w:val="00EB28DB"/>
    <w:rsid w:val="00EB34AB"/>
    <w:rsid w:val="00EB3F4D"/>
    <w:rsid w:val="00EB4130"/>
    <w:rsid w:val="00EB44C6"/>
    <w:rsid w:val="00EB453B"/>
    <w:rsid w:val="00EB4B0C"/>
    <w:rsid w:val="00EB4EDE"/>
    <w:rsid w:val="00EB4FDF"/>
    <w:rsid w:val="00EB59D5"/>
    <w:rsid w:val="00EB616E"/>
    <w:rsid w:val="00EB657C"/>
    <w:rsid w:val="00EB673A"/>
    <w:rsid w:val="00EB683F"/>
    <w:rsid w:val="00EB6921"/>
    <w:rsid w:val="00EB6A83"/>
    <w:rsid w:val="00EB6C73"/>
    <w:rsid w:val="00EB720B"/>
    <w:rsid w:val="00EB7597"/>
    <w:rsid w:val="00EB76C7"/>
    <w:rsid w:val="00EB7729"/>
    <w:rsid w:val="00EB772E"/>
    <w:rsid w:val="00EB7B09"/>
    <w:rsid w:val="00EB7E36"/>
    <w:rsid w:val="00EB7F52"/>
    <w:rsid w:val="00EC0918"/>
    <w:rsid w:val="00EC0FED"/>
    <w:rsid w:val="00EC139C"/>
    <w:rsid w:val="00EC1539"/>
    <w:rsid w:val="00EC15C9"/>
    <w:rsid w:val="00EC2077"/>
    <w:rsid w:val="00EC217F"/>
    <w:rsid w:val="00EC2794"/>
    <w:rsid w:val="00EC27FC"/>
    <w:rsid w:val="00EC2DA2"/>
    <w:rsid w:val="00EC328A"/>
    <w:rsid w:val="00EC35A6"/>
    <w:rsid w:val="00EC35B6"/>
    <w:rsid w:val="00EC3EF1"/>
    <w:rsid w:val="00EC41DD"/>
    <w:rsid w:val="00EC4A29"/>
    <w:rsid w:val="00EC5803"/>
    <w:rsid w:val="00EC5C73"/>
    <w:rsid w:val="00EC5E9D"/>
    <w:rsid w:val="00EC6080"/>
    <w:rsid w:val="00EC6163"/>
    <w:rsid w:val="00EC6255"/>
    <w:rsid w:val="00EC6DD7"/>
    <w:rsid w:val="00EC6E5F"/>
    <w:rsid w:val="00EC6FCD"/>
    <w:rsid w:val="00EC7059"/>
    <w:rsid w:val="00EC7338"/>
    <w:rsid w:val="00EC7999"/>
    <w:rsid w:val="00EC7B22"/>
    <w:rsid w:val="00EC7B53"/>
    <w:rsid w:val="00ED018A"/>
    <w:rsid w:val="00ED02B9"/>
    <w:rsid w:val="00ED05A0"/>
    <w:rsid w:val="00ED060F"/>
    <w:rsid w:val="00ED064C"/>
    <w:rsid w:val="00ED1248"/>
    <w:rsid w:val="00ED1A01"/>
    <w:rsid w:val="00ED1CC2"/>
    <w:rsid w:val="00ED1D21"/>
    <w:rsid w:val="00ED2589"/>
    <w:rsid w:val="00ED27D7"/>
    <w:rsid w:val="00ED290A"/>
    <w:rsid w:val="00ED337D"/>
    <w:rsid w:val="00ED345E"/>
    <w:rsid w:val="00ED3C47"/>
    <w:rsid w:val="00ED3E8A"/>
    <w:rsid w:val="00ED4788"/>
    <w:rsid w:val="00ED5385"/>
    <w:rsid w:val="00ED55D0"/>
    <w:rsid w:val="00ED5F39"/>
    <w:rsid w:val="00ED640C"/>
    <w:rsid w:val="00ED67E8"/>
    <w:rsid w:val="00ED68D5"/>
    <w:rsid w:val="00ED6A27"/>
    <w:rsid w:val="00ED6C72"/>
    <w:rsid w:val="00ED7171"/>
    <w:rsid w:val="00ED72D4"/>
    <w:rsid w:val="00ED7F4B"/>
    <w:rsid w:val="00EE039E"/>
    <w:rsid w:val="00EE03FC"/>
    <w:rsid w:val="00EE0593"/>
    <w:rsid w:val="00EE0787"/>
    <w:rsid w:val="00EE103A"/>
    <w:rsid w:val="00EE14DC"/>
    <w:rsid w:val="00EE15DE"/>
    <w:rsid w:val="00EE19E4"/>
    <w:rsid w:val="00EE1B3C"/>
    <w:rsid w:val="00EE1BE9"/>
    <w:rsid w:val="00EE292E"/>
    <w:rsid w:val="00EE2EE3"/>
    <w:rsid w:val="00EE3417"/>
    <w:rsid w:val="00EE3E44"/>
    <w:rsid w:val="00EE4023"/>
    <w:rsid w:val="00EE428A"/>
    <w:rsid w:val="00EE4889"/>
    <w:rsid w:val="00EE4AFB"/>
    <w:rsid w:val="00EE4C63"/>
    <w:rsid w:val="00EE504D"/>
    <w:rsid w:val="00EE5090"/>
    <w:rsid w:val="00EE516D"/>
    <w:rsid w:val="00EE5222"/>
    <w:rsid w:val="00EE5531"/>
    <w:rsid w:val="00EE5964"/>
    <w:rsid w:val="00EE5D54"/>
    <w:rsid w:val="00EE61FA"/>
    <w:rsid w:val="00EE6977"/>
    <w:rsid w:val="00EE6AAE"/>
    <w:rsid w:val="00EE6B4A"/>
    <w:rsid w:val="00EE7453"/>
    <w:rsid w:val="00EE79D6"/>
    <w:rsid w:val="00EE7A59"/>
    <w:rsid w:val="00EE7AF4"/>
    <w:rsid w:val="00EE7FD7"/>
    <w:rsid w:val="00EF0446"/>
    <w:rsid w:val="00EF065D"/>
    <w:rsid w:val="00EF0891"/>
    <w:rsid w:val="00EF0A88"/>
    <w:rsid w:val="00EF0ABF"/>
    <w:rsid w:val="00EF0F2E"/>
    <w:rsid w:val="00EF102A"/>
    <w:rsid w:val="00EF12AE"/>
    <w:rsid w:val="00EF1AC5"/>
    <w:rsid w:val="00EF2040"/>
    <w:rsid w:val="00EF25F4"/>
    <w:rsid w:val="00EF2605"/>
    <w:rsid w:val="00EF2B84"/>
    <w:rsid w:val="00EF2DA3"/>
    <w:rsid w:val="00EF354B"/>
    <w:rsid w:val="00EF45B6"/>
    <w:rsid w:val="00EF45EE"/>
    <w:rsid w:val="00EF4DAC"/>
    <w:rsid w:val="00EF4E69"/>
    <w:rsid w:val="00EF4ED7"/>
    <w:rsid w:val="00EF5133"/>
    <w:rsid w:val="00EF5225"/>
    <w:rsid w:val="00EF5490"/>
    <w:rsid w:val="00EF54EC"/>
    <w:rsid w:val="00EF54FE"/>
    <w:rsid w:val="00EF5662"/>
    <w:rsid w:val="00EF5D13"/>
    <w:rsid w:val="00EF68D8"/>
    <w:rsid w:val="00EF6F54"/>
    <w:rsid w:val="00F000CD"/>
    <w:rsid w:val="00F00500"/>
    <w:rsid w:val="00F0133F"/>
    <w:rsid w:val="00F0159F"/>
    <w:rsid w:val="00F0161C"/>
    <w:rsid w:val="00F016E5"/>
    <w:rsid w:val="00F018B3"/>
    <w:rsid w:val="00F01913"/>
    <w:rsid w:val="00F01BA6"/>
    <w:rsid w:val="00F02E4B"/>
    <w:rsid w:val="00F03B0B"/>
    <w:rsid w:val="00F03C69"/>
    <w:rsid w:val="00F05223"/>
    <w:rsid w:val="00F05829"/>
    <w:rsid w:val="00F05D59"/>
    <w:rsid w:val="00F061DA"/>
    <w:rsid w:val="00F06377"/>
    <w:rsid w:val="00F06460"/>
    <w:rsid w:val="00F067B7"/>
    <w:rsid w:val="00F069AC"/>
    <w:rsid w:val="00F06ADE"/>
    <w:rsid w:val="00F06B6D"/>
    <w:rsid w:val="00F075A6"/>
    <w:rsid w:val="00F07713"/>
    <w:rsid w:val="00F07981"/>
    <w:rsid w:val="00F10427"/>
    <w:rsid w:val="00F10DC2"/>
    <w:rsid w:val="00F11036"/>
    <w:rsid w:val="00F11236"/>
    <w:rsid w:val="00F11321"/>
    <w:rsid w:val="00F115B7"/>
    <w:rsid w:val="00F116C0"/>
    <w:rsid w:val="00F1177C"/>
    <w:rsid w:val="00F11939"/>
    <w:rsid w:val="00F11A39"/>
    <w:rsid w:val="00F11C56"/>
    <w:rsid w:val="00F1201A"/>
    <w:rsid w:val="00F120F2"/>
    <w:rsid w:val="00F122ED"/>
    <w:rsid w:val="00F12E52"/>
    <w:rsid w:val="00F12F0A"/>
    <w:rsid w:val="00F139F7"/>
    <w:rsid w:val="00F13C55"/>
    <w:rsid w:val="00F13CC4"/>
    <w:rsid w:val="00F14032"/>
    <w:rsid w:val="00F142F8"/>
    <w:rsid w:val="00F143B9"/>
    <w:rsid w:val="00F1465A"/>
    <w:rsid w:val="00F14E76"/>
    <w:rsid w:val="00F15CC2"/>
    <w:rsid w:val="00F16226"/>
    <w:rsid w:val="00F164A8"/>
    <w:rsid w:val="00F16CF4"/>
    <w:rsid w:val="00F16E98"/>
    <w:rsid w:val="00F172C0"/>
    <w:rsid w:val="00F173D9"/>
    <w:rsid w:val="00F174BF"/>
    <w:rsid w:val="00F17675"/>
    <w:rsid w:val="00F17723"/>
    <w:rsid w:val="00F17EB0"/>
    <w:rsid w:val="00F2087E"/>
    <w:rsid w:val="00F20ACB"/>
    <w:rsid w:val="00F21263"/>
    <w:rsid w:val="00F2132C"/>
    <w:rsid w:val="00F2159A"/>
    <w:rsid w:val="00F21610"/>
    <w:rsid w:val="00F218D2"/>
    <w:rsid w:val="00F21A34"/>
    <w:rsid w:val="00F2237E"/>
    <w:rsid w:val="00F22593"/>
    <w:rsid w:val="00F2323F"/>
    <w:rsid w:val="00F23375"/>
    <w:rsid w:val="00F23AF6"/>
    <w:rsid w:val="00F2403B"/>
    <w:rsid w:val="00F24083"/>
    <w:rsid w:val="00F24FA3"/>
    <w:rsid w:val="00F25A7A"/>
    <w:rsid w:val="00F26D72"/>
    <w:rsid w:val="00F26DBF"/>
    <w:rsid w:val="00F272BC"/>
    <w:rsid w:val="00F27DCE"/>
    <w:rsid w:val="00F30281"/>
    <w:rsid w:val="00F305C1"/>
    <w:rsid w:val="00F30797"/>
    <w:rsid w:val="00F30C97"/>
    <w:rsid w:val="00F30DD1"/>
    <w:rsid w:val="00F310FC"/>
    <w:rsid w:val="00F31ACE"/>
    <w:rsid w:val="00F31ED5"/>
    <w:rsid w:val="00F31EED"/>
    <w:rsid w:val="00F32636"/>
    <w:rsid w:val="00F3269D"/>
    <w:rsid w:val="00F32D1B"/>
    <w:rsid w:val="00F335AF"/>
    <w:rsid w:val="00F33C08"/>
    <w:rsid w:val="00F33FCE"/>
    <w:rsid w:val="00F34216"/>
    <w:rsid w:val="00F34836"/>
    <w:rsid w:val="00F34994"/>
    <w:rsid w:val="00F34A55"/>
    <w:rsid w:val="00F353B3"/>
    <w:rsid w:val="00F357E5"/>
    <w:rsid w:val="00F35AE5"/>
    <w:rsid w:val="00F363B5"/>
    <w:rsid w:val="00F36687"/>
    <w:rsid w:val="00F367A9"/>
    <w:rsid w:val="00F36A4B"/>
    <w:rsid w:val="00F36F9B"/>
    <w:rsid w:val="00F377C5"/>
    <w:rsid w:val="00F377DF"/>
    <w:rsid w:val="00F37B83"/>
    <w:rsid w:val="00F37FBA"/>
    <w:rsid w:val="00F4032F"/>
    <w:rsid w:val="00F40894"/>
    <w:rsid w:val="00F41424"/>
    <w:rsid w:val="00F41622"/>
    <w:rsid w:val="00F41706"/>
    <w:rsid w:val="00F41A3E"/>
    <w:rsid w:val="00F41CFB"/>
    <w:rsid w:val="00F41EF3"/>
    <w:rsid w:val="00F42277"/>
    <w:rsid w:val="00F42C0B"/>
    <w:rsid w:val="00F42E74"/>
    <w:rsid w:val="00F43256"/>
    <w:rsid w:val="00F43416"/>
    <w:rsid w:val="00F4450A"/>
    <w:rsid w:val="00F445EE"/>
    <w:rsid w:val="00F449C4"/>
    <w:rsid w:val="00F44A3D"/>
    <w:rsid w:val="00F44B77"/>
    <w:rsid w:val="00F44DFA"/>
    <w:rsid w:val="00F44F0F"/>
    <w:rsid w:val="00F45084"/>
    <w:rsid w:val="00F4515B"/>
    <w:rsid w:val="00F45260"/>
    <w:rsid w:val="00F45519"/>
    <w:rsid w:val="00F45680"/>
    <w:rsid w:val="00F459AB"/>
    <w:rsid w:val="00F459E7"/>
    <w:rsid w:val="00F45C76"/>
    <w:rsid w:val="00F46698"/>
    <w:rsid w:val="00F46F88"/>
    <w:rsid w:val="00F471DA"/>
    <w:rsid w:val="00F4732E"/>
    <w:rsid w:val="00F4744B"/>
    <w:rsid w:val="00F4768D"/>
    <w:rsid w:val="00F4777E"/>
    <w:rsid w:val="00F4785E"/>
    <w:rsid w:val="00F47DA1"/>
    <w:rsid w:val="00F47E46"/>
    <w:rsid w:val="00F500EE"/>
    <w:rsid w:val="00F501D1"/>
    <w:rsid w:val="00F507B9"/>
    <w:rsid w:val="00F509FD"/>
    <w:rsid w:val="00F50DA8"/>
    <w:rsid w:val="00F52F3E"/>
    <w:rsid w:val="00F532F9"/>
    <w:rsid w:val="00F533CD"/>
    <w:rsid w:val="00F534B8"/>
    <w:rsid w:val="00F53598"/>
    <w:rsid w:val="00F53AC6"/>
    <w:rsid w:val="00F53ACB"/>
    <w:rsid w:val="00F53E67"/>
    <w:rsid w:val="00F53EF9"/>
    <w:rsid w:val="00F5412A"/>
    <w:rsid w:val="00F544BB"/>
    <w:rsid w:val="00F549E1"/>
    <w:rsid w:val="00F54F38"/>
    <w:rsid w:val="00F54FC9"/>
    <w:rsid w:val="00F55AE9"/>
    <w:rsid w:val="00F560C7"/>
    <w:rsid w:val="00F56733"/>
    <w:rsid w:val="00F5675B"/>
    <w:rsid w:val="00F57161"/>
    <w:rsid w:val="00F577C3"/>
    <w:rsid w:val="00F57BFC"/>
    <w:rsid w:val="00F57C02"/>
    <w:rsid w:val="00F57D82"/>
    <w:rsid w:val="00F6024E"/>
    <w:rsid w:val="00F602AC"/>
    <w:rsid w:val="00F603E8"/>
    <w:rsid w:val="00F604F3"/>
    <w:rsid w:val="00F6094F"/>
    <w:rsid w:val="00F60EB4"/>
    <w:rsid w:val="00F617BD"/>
    <w:rsid w:val="00F61921"/>
    <w:rsid w:val="00F61966"/>
    <w:rsid w:val="00F61BDB"/>
    <w:rsid w:val="00F61CED"/>
    <w:rsid w:val="00F621FD"/>
    <w:rsid w:val="00F622A8"/>
    <w:rsid w:val="00F6231C"/>
    <w:rsid w:val="00F62FF3"/>
    <w:rsid w:val="00F63047"/>
    <w:rsid w:val="00F633D4"/>
    <w:rsid w:val="00F6379E"/>
    <w:rsid w:val="00F63914"/>
    <w:rsid w:val="00F6396D"/>
    <w:rsid w:val="00F639C6"/>
    <w:rsid w:val="00F648F8"/>
    <w:rsid w:val="00F64F94"/>
    <w:rsid w:val="00F6516F"/>
    <w:rsid w:val="00F65344"/>
    <w:rsid w:val="00F65429"/>
    <w:rsid w:val="00F656AA"/>
    <w:rsid w:val="00F65762"/>
    <w:rsid w:val="00F65B44"/>
    <w:rsid w:val="00F65C56"/>
    <w:rsid w:val="00F65E0F"/>
    <w:rsid w:val="00F660BD"/>
    <w:rsid w:val="00F668C1"/>
    <w:rsid w:val="00F669E1"/>
    <w:rsid w:val="00F701A6"/>
    <w:rsid w:val="00F70249"/>
    <w:rsid w:val="00F70604"/>
    <w:rsid w:val="00F70874"/>
    <w:rsid w:val="00F70978"/>
    <w:rsid w:val="00F709B4"/>
    <w:rsid w:val="00F70B2C"/>
    <w:rsid w:val="00F70D57"/>
    <w:rsid w:val="00F716F6"/>
    <w:rsid w:val="00F71990"/>
    <w:rsid w:val="00F71F34"/>
    <w:rsid w:val="00F72061"/>
    <w:rsid w:val="00F72170"/>
    <w:rsid w:val="00F7234C"/>
    <w:rsid w:val="00F7271C"/>
    <w:rsid w:val="00F72D66"/>
    <w:rsid w:val="00F72E0A"/>
    <w:rsid w:val="00F73012"/>
    <w:rsid w:val="00F74468"/>
    <w:rsid w:val="00F7491C"/>
    <w:rsid w:val="00F74A00"/>
    <w:rsid w:val="00F74A83"/>
    <w:rsid w:val="00F75233"/>
    <w:rsid w:val="00F753BC"/>
    <w:rsid w:val="00F75410"/>
    <w:rsid w:val="00F75A5B"/>
    <w:rsid w:val="00F76301"/>
    <w:rsid w:val="00F76611"/>
    <w:rsid w:val="00F7665D"/>
    <w:rsid w:val="00F76B76"/>
    <w:rsid w:val="00F7725A"/>
    <w:rsid w:val="00F77787"/>
    <w:rsid w:val="00F77AFA"/>
    <w:rsid w:val="00F77C59"/>
    <w:rsid w:val="00F80146"/>
    <w:rsid w:val="00F80595"/>
    <w:rsid w:val="00F80D67"/>
    <w:rsid w:val="00F80F67"/>
    <w:rsid w:val="00F81501"/>
    <w:rsid w:val="00F8178D"/>
    <w:rsid w:val="00F81C28"/>
    <w:rsid w:val="00F8264D"/>
    <w:rsid w:val="00F82842"/>
    <w:rsid w:val="00F82A6B"/>
    <w:rsid w:val="00F82C4B"/>
    <w:rsid w:val="00F82C93"/>
    <w:rsid w:val="00F83389"/>
    <w:rsid w:val="00F83C43"/>
    <w:rsid w:val="00F83EF6"/>
    <w:rsid w:val="00F84008"/>
    <w:rsid w:val="00F8410B"/>
    <w:rsid w:val="00F845B3"/>
    <w:rsid w:val="00F848AC"/>
    <w:rsid w:val="00F84908"/>
    <w:rsid w:val="00F84D70"/>
    <w:rsid w:val="00F84D83"/>
    <w:rsid w:val="00F84FBB"/>
    <w:rsid w:val="00F85093"/>
    <w:rsid w:val="00F85195"/>
    <w:rsid w:val="00F85454"/>
    <w:rsid w:val="00F858BE"/>
    <w:rsid w:val="00F85B45"/>
    <w:rsid w:val="00F85B57"/>
    <w:rsid w:val="00F85E1B"/>
    <w:rsid w:val="00F8619C"/>
    <w:rsid w:val="00F864DA"/>
    <w:rsid w:val="00F86A10"/>
    <w:rsid w:val="00F86BD4"/>
    <w:rsid w:val="00F86C5F"/>
    <w:rsid w:val="00F86CF5"/>
    <w:rsid w:val="00F86E78"/>
    <w:rsid w:val="00F87171"/>
    <w:rsid w:val="00F874AB"/>
    <w:rsid w:val="00F877A1"/>
    <w:rsid w:val="00F8788E"/>
    <w:rsid w:val="00F87A25"/>
    <w:rsid w:val="00F87DEB"/>
    <w:rsid w:val="00F87FAA"/>
    <w:rsid w:val="00F900C4"/>
    <w:rsid w:val="00F906EE"/>
    <w:rsid w:val="00F9094E"/>
    <w:rsid w:val="00F90AF9"/>
    <w:rsid w:val="00F91959"/>
    <w:rsid w:val="00F923DF"/>
    <w:rsid w:val="00F9265D"/>
    <w:rsid w:val="00F92C71"/>
    <w:rsid w:val="00F92D10"/>
    <w:rsid w:val="00F9316A"/>
    <w:rsid w:val="00F93970"/>
    <w:rsid w:val="00F93D45"/>
    <w:rsid w:val="00F93DBE"/>
    <w:rsid w:val="00F93F39"/>
    <w:rsid w:val="00F94D7D"/>
    <w:rsid w:val="00F94FCB"/>
    <w:rsid w:val="00F94FF6"/>
    <w:rsid w:val="00F95006"/>
    <w:rsid w:val="00F95CE7"/>
    <w:rsid w:val="00F95EA7"/>
    <w:rsid w:val="00F96C22"/>
    <w:rsid w:val="00F96D0D"/>
    <w:rsid w:val="00F9712C"/>
    <w:rsid w:val="00F97538"/>
    <w:rsid w:val="00F976F6"/>
    <w:rsid w:val="00F97FCF"/>
    <w:rsid w:val="00FA0326"/>
    <w:rsid w:val="00FA036A"/>
    <w:rsid w:val="00FA036E"/>
    <w:rsid w:val="00FA065C"/>
    <w:rsid w:val="00FA09B6"/>
    <w:rsid w:val="00FA0E40"/>
    <w:rsid w:val="00FA1409"/>
    <w:rsid w:val="00FA1419"/>
    <w:rsid w:val="00FA146A"/>
    <w:rsid w:val="00FA1867"/>
    <w:rsid w:val="00FA1D07"/>
    <w:rsid w:val="00FA226A"/>
    <w:rsid w:val="00FA2515"/>
    <w:rsid w:val="00FA2C94"/>
    <w:rsid w:val="00FA2F33"/>
    <w:rsid w:val="00FA3251"/>
    <w:rsid w:val="00FA3770"/>
    <w:rsid w:val="00FA38E0"/>
    <w:rsid w:val="00FA3FEA"/>
    <w:rsid w:val="00FA4A6B"/>
    <w:rsid w:val="00FA4B23"/>
    <w:rsid w:val="00FA4B9D"/>
    <w:rsid w:val="00FA4F25"/>
    <w:rsid w:val="00FA4F29"/>
    <w:rsid w:val="00FA52A0"/>
    <w:rsid w:val="00FA538C"/>
    <w:rsid w:val="00FA57CD"/>
    <w:rsid w:val="00FA58A9"/>
    <w:rsid w:val="00FA5ADD"/>
    <w:rsid w:val="00FA5E8B"/>
    <w:rsid w:val="00FA61FA"/>
    <w:rsid w:val="00FA62D3"/>
    <w:rsid w:val="00FA67D9"/>
    <w:rsid w:val="00FA6AE5"/>
    <w:rsid w:val="00FA6C7C"/>
    <w:rsid w:val="00FA715F"/>
    <w:rsid w:val="00FA74F3"/>
    <w:rsid w:val="00FA7A32"/>
    <w:rsid w:val="00FA7B07"/>
    <w:rsid w:val="00FB04E3"/>
    <w:rsid w:val="00FB0962"/>
    <w:rsid w:val="00FB0A4B"/>
    <w:rsid w:val="00FB0D91"/>
    <w:rsid w:val="00FB1216"/>
    <w:rsid w:val="00FB1716"/>
    <w:rsid w:val="00FB1AF7"/>
    <w:rsid w:val="00FB1D0D"/>
    <w:rsid w:val="00FB204C"/>
    <w:rsid w:val="00FB2101"/>
    <w:rsid w:val="00FB2429"/>
    <w:rsid w:val="00FB291A"/>
    <w:rsid w:val="00FB35CD"/>
    <w:rsid w:val="00FB3B94"/>
    <w:rsid w:val="00FB415E"/>
    <w:rsid w:val="00FB43D1"/>
    <w:rsid w:val="00FB4709"/>
    <w:rsid w:val="00FB4859"/>
    <w:rsid w:val="00FB48FD"/>
    <w:rsid w:val="00FB4C6F"/>
    <w:rsid w:val="00FB4CB7"/>
    <w:rsid w:val="00FB51CA"/>
    <w:rsid w:val="00FB5BDF"/>
    <w:rsid w:val="00FB5CC6"/>
    <w:rsid w:val="00FB60D8"/>
    <w:rsid w:val="00FB615F"/>
    <w:rsid w:val="00FB61C2"/>
    <w:rsid w:val="00FB6265"/>
    <w:rsid w:val="00FB6E49"/>
    <w:rsid w:val="00FB7152"/>
    <w:rsid w:val="00FB7224"/>
    <w:rsid w:val="00FB77DD"/>
    <w:rsid w:val="00FB7A07"/>
    <w:rsid w:val="00FB7D53"/>
    <w:rsid w:val="00FB7E3F"/>
    <w:rsid w:val="00FC08A2"/>
    <w:rsid w:val="00FC08DB"/>
    <w:rsid w:val="00FC0EE6"/>
    <w:rsid w:val="00FC0F73"/>
    <w:rsid w:val="00FC1962"/>
    <w:rsid w:val="00FC20EC"/>
    <w:rsid w:val="00FC249F"/>
    <w:rsid w:val="00FC258E"/>
    <w:rsid w:val="00FC2591"/>
    <w:rsid w:val="00FC274B"/>
    <w:rsid w:val="00FC274F"/>
    <w:rsid w:val="00FC2B0B"/>
    <w:rsid w:val="00FC30F7"/>
    <w:rsid w:val="00FC3567"/>
    <w:rsid w:val="00FC35A6"/>
    <w:rsid w:val="00FC38B4"/>
    <w:rsid w:val="00FC3976"/>
    <w:rsid w:val="00FC3991"/>
    <w:rsid w:val="00FC3C20"/>
    <w:rsid w:val="00FC3E64"/>
    <w:rsid w:val="00FC3FBE"/>
    <w:rsid w:val="00FC4412"/>
    <w:rsid w:val="00FC4775"/>
    <w:rsid w:val="00FC52DC"/>
    <w:rsid w:val="00FC5320"/>
    <w:rsid w:val="00FC5742"/>
    <w:rsid w:val="00FC5E7D"/>
    <w:rsid w:val="00FC5EE8"/>
    <w:rsid w:val="00FC6089"/>
    <w:rsid w:val="00FC62B7"/>
    <w:rsid w:val="00FC6368"/>
    <w:rsid w:val="00FC6458"/>
    <w:rsid w:val="00FC6F14"/>
    <w:rsid w:val="00FC72E3"/>
    <w:rsid w:val="00FC760C"/>
    <w:rsid w:val="00FC7617"/>
    <w:rsid w:val="00FC7823"/>
    <w:rsid w:val="00FC7D38"/>
    <w:rsid w:val="00FC7D6B"/>
    <w:rsid w:val="00FC7F30"/>
    <w:rsid w:val="00FD01AD"/>
    <w:rsid w:val="00FD0576"/>
    <w:rsid w:val="00FD0968"/>
    <w:rsid w:val="00FD0DDC"/>
    <w:rsid w:val="00FD127C"/>
    <w:rsid w:val="00FD19B9"/>
    <w:rsid w:val="00FD22F7"/>
    <w:rsid w:val="00FD22FA"/>
    <w:rsid w:val="00FD2309"/>
    <w:rsid w:val="00FD2A36"/>
    <w:rsid w:val="00FD2D16"/>
    <w:rsid w:val="00FD2D2D"/>
    <w:rsid w:val="00FD3078"/>
    <w:rsid w:val="00FD30F8"/>
    <w:rsid w:val="00FD32EA"/>
    <w:rsid w:val="00FD379D"/>
    <w:rsid w:val="00FD3CA3"/>
    <w:rsid w:val="00FD3D31"/>
    <w:rsid w:val="00FD3D9E"/>
    <w:rsid w:val="00FD3F24"/>
    <w:rsid w:val="00FD4CD3"/>
    <w:rsid w:val="00FD4D6D"/>
    <w:rsid w:val="00FD4E20"/>
    <w:rsid w:val="00FD4F05"/>
    <w:rsid w:val="00FD5189"/>
    <w:rsid w:val="00FD568B"/>
    <w:rsid w:val="00FD56BA"/>
    <w:rsid w:val="00FD5E49"/>
    <w:rsid w:val="00FD624C"/>
    <w:rsid w:val="00FD682B"/>
    <w:rsid w:val="00FD6B7C"/>
    <w:rsid w:val="00FD6D1A"/>
    <w:rsid w:val="00FD6DB8"/>
    <w:rsid w:val="00FD704A"/>
    <w:rsid w:val="00FD715C"/>
    <w:rsid w:val="00FD747A"/>
    <w:rsid w:val="00FD7605"/>
    <w:rsid w:val="00FD78F8"/>
    <w:rsid w:val="00FD7A3B"/>
    <w:rsid w:val="00FD7BFA"/>
    <w:rsid w:val="00FD7E1A"/>
    <w:rsid w:val="00FD7E6F"/>
    <w:rsid w:val="00FE001E"/>
    <w:rsid w:val="00FE0256"/>
    <w:rsid w:val="00FE0336"/>
    <w:rsid w:val="00FE05E7"/>
    <w:rsid w:val="00FE07AA"/>
    <w:rsid w:val="00FE07DB"/>
    <w:rsid w:val="00FE07EA"/>
    <w:rsid w:val="00FE0956"/>
    <w:rsid w:val="00FE09B8"/>
    <w:rsid w:val="00FE0E21"/>
    <w:rsid w:val="00FE1E7F"/>
    <w:rsid w:val="00FE1ED8"/>
    <w:rsid w:val="00FE1FA4"/>
    <w:rsid w:val="00FE1FE6"/>
    <w:rsid w:val="00FE2053"/>
    <w:rsid w:val="00FE232B"/>
    <w:rsid w:val="00FE2DC6"/>
    <w:rsid w:val="00FE35CE"/>
    <w:rsid w:val="00FE3605"/>
    <w:rsid w:val="00FE3A65"/>
    <w:rsid w:val="00FE3EA1"/>
    <w:rsid w:val="00FE3F73"/>
    <w:rsid w:val="00FE3FE3"/>
    <w:rsid w:val="00FE426B"/>
    <w:rsid w:val="00FE4475"/>
    <w:rsid w:val="00FE447E"/>
    <w:rsid w:val="00FE4672"/>
    <w:rsid w:val="00FE48B8"/>
    <w:rsid w:val="00FE48F8"/>
    <w:rsid w:val="00FE4BAF"/>
    <w:rsid w:val="00FE4CC1"/>
    <w:rsid w:val="00FE4CF5"/>
    <w:rsid w:val="00FE4E23"/>
    <w:rsid w:val="00FE4E53"/>
    <w:rsid w:val="00FE4EC5"/>
    <w:rsid w:val="00FE4F41"/>
    <w:rsid w:val="00FE595D"/>
    <w:rsid w:val="00FE5C84"/>
    <w:rsid w:val="00FE5C8C"/>
    <w:rsid w:val="00FE6815"/>
    <w:rsid w:val="00FE68D5"/>
    <w:rsid w:val="00FE69AE"/>
    <w:rsid w:val="00FE6C44"/>
    <w:rsid w:val="00FE6EA0"/>
    <w:rsid w:val="00FE7750"/>
    <w:rsid w:val="00FE7A5F"/>
    <w:rsid w:val="00FF0194"/>
    <w:rsid w:val="00FF0CD4"/>
    <w:rsid w:val="00FF13C7"/>
    <w:rsid w:val="00FF1560"/>
    <w:rsid w:val="00FF24E3"/>
    <w:rsid w:val="00FF2672"/>
    <w:rsid w:val="00FF27E4"/>
    <w:rsid w:val="00FF2943"/>
    <w:rsid w:val="00FF2B74"/>
    <w:rsid w:val="00FF2CAF"/>
    <w:rsid w:val="00FF2D63"/>
    <w:rsid w:val="00FF3770"/>
    <w:rsid w:val="00FF3888"/>
    <w:rsid w:val="00FF3AA6"/>
    <w:rsid w:val="00FF3B5B"/>
    <w:rsid w:val="00FF3C38"/>
    <w:rsid w:val="00FF3DAD"/>
    <w:rsid w:val="00FF41B4"/>
    <w:rsid w:val="00FF48AB"/>
    <w:rsid w:val="00FF4B5F"/>
    <w:rsid w:val="00FF4F72"/>
    <w:rsid w:val="00FF574D"/>
    <w:rsid w:val="00FF5EA8"/>
    <w:rsid w:val="00FF604C"/>
    <w:rsid w:val="00FF6683"/>
    <w:rsid w:val="00FF67B2"/>
    <w:rsid w:val="00FF6AA2"/>
    <w:rsid w:val="00FF6CBF"/>
    <w:rsid w:val="00FF6F62"/>
    <w:rsid w:val="00FF7209"/>
    <w:rsid w:val="00FF7280"/>
    <w:rsid w:val="00FF7730"/>
    <w:rsid w:val="00FF77EF"/>
    <w:rsid w:val="00FF7BAE"/>
    <w:rsid w:val="01114AF0"/>
    <w:rsid w:val="0120CC21"/>
    <w:rsid w:val="01267158"/>
    <w:rsid w:val="0132D740"/>
    <w:rsid w:val="01460F6E"/>
    <w:rsid w:val="014B3B22"/>
    <w:rsid w:val="01ABCDE5"/>
    <w:rsid w:val="01B31A78"/>
    <w:rsid w:val="01D3E3C3"/>
    <w:rsid w:val="02030E05"/>
    <w:rsid w:val="0204148F"/>
    <w:rsid w:val="0212A249"/>
    <w:rsid w:val="022ACF48"/>
    <w:rsid w:val="022C6267"/>
    <w:rsid w:val="02312AE0"/>
    <w:rsid w:val="02599187"/>
    <w:rsid w:val="025E7601"/>
    <w:rsid w:val="0275620C"/>
    <w:rsid w:val="02766394"/>
    <w:rsid w:val="029EA578"/>
    <w:rsid w:val="02A67BC7"/>
    <w:rsid w:val="02C09D40"/>
    <w:rsid w:val="02C3D7D2"/>
    <w:rsid w:val="02DEDF10"/>
    <w:rsid w:val="03196FA3"/>
    <w:rsid w:val="032E1267"/>
    <w:rsid w:val="033931E0"/>
    <w:rsid w:val="0340A342"/>
    <w:rsid w:val="034A6B65"/>
    <w:rsid w:val="038A0CDF"/>
    <w:rsid w:val="03A5D883"/>
    <w:rsid w:val="03AD0AF1"/>
    <w:rsid w:val="03EB9EF7"/>
    <w:rsid w:val="03F374E5"/>
    <w:rsid w:val="03F86E4D"/>
    <w:rsid w:val="03FB8463"/>
    <w:rsid w:val="0404ECE1"/>
    <w:rsid w:val="0417CEE2"/>
    <w:rsid w:val="0426DE71"/>
    <w:rsid w:val="0427E482"/>
    <w:rsid w:val="043DCC29"/>
    <w:rsid w:val="045B610C"/>
    <w:rsid w:val="048DD026"/>
    <w:rsid w:val="048FC941"/>
    <w:rsid w:val="04A46BB1"/>
    <w:rsid w:val="04B26C57"/>
    <w:rsid w:val="04D0F0B7"/>
    <w:rsid w:val="04DFA816"/>
    <w:rsid w:val="0515E8E7"/>
    <w:rsid w:val="052BBFFB"/>
    <w:rsid w:val="053B463F"/>
    <w:rsid w:val="054E70C0"/>
    <w:rsid w:val="055B258E"/>
    <w:rsid w:val="0562F30E"/>
    <w:rsid w:val="057F576F"/>
    <w:rsid w:val="05A8F8B3"/>
    <w:rsid w:val="05DB607B"/>
    <w:rsid w:val="05F357DC"/>
    <w:rsid w:val="0604BA5F"/>
    <w:rsid w:val="066B914E"/>
    <w:rsid w:val="068E6469"/>
    <w:rsid w:val="0699D28A"/>
    <w:rsid w:val="069DDD0C"/>
    <w:rsid w:val="06A312E6"/>
    <w:rsid w:val="06DC3125"/>
    <w:rsid w:val="06E78CD3"/>
    <w:rsid w:val="06EE2BBA"/>
    <w:rsid w:val="06FD280D"/>
    <w:rsid w:val="06FEDE24"/>
    <w:rsid w:val="0703C3E1"/>
    <w:rsid w:val="0709CBDF"/>
    <w:rsid w:val="07186412"/>
    <w:rsid w:val="071FA38A"/>
    <w:rsid w:val="07625459"/>
    <w:rsid w:val="076484D0"/>
    <w:rsid w:val="076795A5"/>
    <w:rsid w:val="0785FEEE"/>
    <w:rsid w:val="078C975B"/>
    <w:rsid w:val="079886E4"/>
    <w:rsid w:val="07C0CAA6"/>
    <w:rsid w:val="07CA1380"/>
    <w:rsid w:val="08419B01"/>
    <w:rsid w:val="084A5081"/>
    <w:rsid w:val="085CDC79"/>
    <w:rsid w:val="086D9147"/>
    <w:rsid w:val="0875BCC1"/>
    <w:rsid w:val="08904AA8"/>
    <w:rsid w:val="089DAA9F"/>
    <w:rsid w:val="08BF8335"/>
    <w:rsid w:val="08D0466F"/>
    <w:rsid w:val="08E830F6"/>
    <w:rsid w:val="08FC76DD"/>
    <w:rsid w:val="09304BEB"/>
    <w:rsid w:val="0942EE13"/>
    <w:rsid w:val="09566FF8"/>
    <w:rsid w:val="09590183"/>
    <w:rsid w:val="0982EF55"/>
    <w:rsid w:val="0993ED32"/>
    <w:rsid w:val="099DDB81"/>
    <w:rsid w:val="09A5B0DD"/>
    <w:rsid w:val="09CAB35F"/>
    <w:rsid w:val="0A035DCD"/>
    <w:rsid w:val="0A10B00E"/>
    <w:rsid w:val="0A22F9C9"/>
    <w:rsid w:val="0A355B5D"/>
    <w:rsid w:val="0A427E07"/>
    <w:rsid w:val="0A5D3B29"/>
    <w:rsid w:val="0A60964A"/>
    <w:rsid w:val="0A6C16D0"/>
    <w:rsid w:val="0A8E04CC"/>
    <w:rsid w:val="0B34BF39"/>
    <w:rsid w:val="0B6BB006"/>
    <w:rsid w:val="0B6DB460"/>
    <w:rsid w:val="0B6EEACA"/>
    <w:rsid w:val="0B9D3CBE"/>
    <w:rsid w:val="0BB0A0CB"/>
    <w:rsid w:val="0BF8EB85"/>
    <w:rsid w:val="0BFEFF83"/>
    <w:rsid w:val="0C243BA5"/>
    <w:rsid w:val="0C2CA09C"/>
    <w:rsid w:val="0C3C2F2E"/>
    <w:rsid w:val="0C6252C6"/>
    <w:rsid w:val="0C67ECAD"/>
    <w:rsid w:val="0C6E5678"/>
    <w:rsid w:val="0C731D0C"/>
    <w:rsid w:val="0CA0C414"/>
    <w:rsid w:val="0CA31E44"/>
    <w:rsid w:val="0CFAF026"/>
    <w:rsid w:val="0D411052"/>
    <w:rsid w:val="0D74F148"/>
    <w:rsid w:val="0DB4985A"/>
    <w:rsid w:val="0E0E0561"/>
    <w:rsid w:val="0E162A40"/>
    <w:rsid w:val="0E25F85F"/>
    <w:rsid w:val="0E67BFA1"/>
    <w:rsid w:val="0E891481"/>
    <w:rsid w:val="0EA6BD1E"/>
    <w:rsid w:val="0EB34903"/>
    <w:rsid w:val="0EB3B802"/>
    <w:rsid w:val="0EB761CC"/>
    <w:rsid w:val="0EB884BF"/>
    <w:rsid w:val="0EC6ADAE"/>
    <w:rsid w:val="0F00690C"/>
    <w:rsid w:val="0F0816B0"/>
    <w:rsid w:val="0F402232"/>
    <w:rsid w:val="0F79A8BC"/>
    <w:rsid w:val="0F8939D4"/>
    <w:rsid w:val="0FA3A1F1"/>
    <w:rsid w:val="0FA4843D"/>
    <w:rsid w:val="0FD98DEE"/>
    <w:rsid w:val="1017939F"/>
    <w:rsid w:val="102A6734"/>
    <w:rsid w:val="105BE7B2"/>
    <w:rsid w:val="10627E0F"/>
    <w:rsid w:val="1081BABB"/>
    <w:rsid w:val="10935AFA"/>
    <w:rsid w:val="10CE2504"/>
    <w:rsid w:val="10DF225E"/>
    <w:rsid w:val="10F70CA1"/>
    <w:rsid w:val="1123924C"/>
    <w:rsid w:val="112A51A4"/>
    <w:rsid w:val="112A5E4D"/>
    <w:rsid w:val="114D3671"/>
    <w:rsid w:val="1166A06B"/>
    <w:rsid w:val="116EC654"/>
    <w:rsid w:val="11801357"/>
    <w:rsid w:val="11882745"/>
    <w:rsid w:val="11B5159D"/>
    <w:rsid w:val="11B648F2"/>
    <w:rsid w:val="11FE4E70"/>
    <w:rsid w:val="122225DF"/>
    <w:rsid w:val="1224302B"/>
    <w:rsid w:val="122F2E81"/>
    <w:rsid w:val="12372445"/>
    <w:rsid w:val="1249AA9E"/>
    <w:rsid w:val="124B7498"/>
    <w:rsid w:val="12579F06"/>
    <w:rsid w:val="12916BC8"/>
    <w:rsid w:val="12AEEAED"/>
    <w:rsid w:val="12B4D9C0"/>
    <w:rsid w:val="12C6D39F"/>
    <w:rsid w:val="12CE99CB"/>
    <w:rsid w:val="12D913BC"/>
    <w:rsid w:val="12DF59AE"/>
    <w:rsid w:val="12E90EFB"/>
    <w:rsid w:val="13200783"/>
    <w:rsid w:val="133B154A"/>
    <w:rsid w:val="1344F0AA"/>
    <w:rsid w:val="134F3461"/>
    <w:rsid w:val="13532ED3"/>
    <w:rsid w:val="1364DD13"/>
    <w:rsid w:val="137F19DE"/>
    <w:rsid w:val="13838A6E"/>
    <w:rsid w:val="13A514AC"/>
    <w:rsid w:val="13D10959"/>
    <w:rsid w:val="13D42AB8"/>
    <w:rsid w:val="13E62841"/>
    <w:rsid w:val="1413217C"/>
    <w:rsid w:val="14421CF0"/>
    <w:rsid w:val="144F8892"/>
    <w:rsid w:val="148C2255"/>
    <w:rsid w:val="149B9F24"/>
    <w:rsid w:val="14B4074C"/>
    <w:rsid w:val="14C1A4F9"/>
    <w:rsid w:val="14CCF262"/>
    <w:rsid w:val="14FCD645"/>
    <w:rsid w:val="1504B0EB"/>
    <w:rsid w:val="15251972"/>
    <w:rsid w:val="15342868"/>
    <w:rsid w:val="1536128E"/>
    <w:rsid w:val="153A69C3"/>
    <w:rsid w:val="153F691F"/>
    <w:rsid w:val="15407435"/>
    <w:rsid w:val="1541845C"/>
    <w:rsid w:val="15634E90"/>
    <w:rsid w:val="15640B51"/>
    <w:rsid w:val="156E28D3"/>
    <w:rsid w:val="157CB15B"/>
    <w:rsid w:val="15B5EF84"/>
    <w:rsid w:val="15B84995"/>
    <w:rsid w:val="15BCDD60"/>
    <w:rsid w:val="16231BC8"/>
    <w:rsid w:val="162B2096"/>
    <w:rsid w:val="1638A6C7"/>
    <w:rsid w:val="165E2EE2"/>
    <w:rsid w:val="166D3CA5"/>
    <w:rsid w:val="169D9ED4"/>
    <w:rsid w:val="16B7E2C4"/>
    <w:rsid w:val="16C19C89"/>
    <w:rsid w:val="16D46C35"/>
    <w:rsid w:val="16F28435"/>
    <w:rsid w:val="16F6A2EA"/>
    <w:rsid w:val="1702CC3E"/>
    <w:rsid w:val="17131028"/>
    <w:rsid w:val="1721A0E5"/>
    <w:rsid w:val="172AB006"/>
    <w:rsid w:val="172C99BC"/>
    <w:rsid w:val="1741A6BD"/>
    <w:rsid w:val="17501363"/>
    <w:rsid w:val="17A2CB03"/>
    <w:rsid w:val="17A595E2"/>
    <w:rsid w:val="17A7921C"/>
    <w:rsid w:val="17D16506"/>
    <w:rsid w:val="17D9E0B1"/>
    <w:rsid w:val="17E8969E"/>
    <w:rsid w:val="17FFEDA8"/>
    <w:rsid w:val="18097D56"/>
    <w:rsid w:val="18141093"/>
    <w:rsid w:val="181BF3F2"/>
    <w:rsid w:val="18425319"/>
    <w:rsid w:val="186EEA42"/>
    <w:rsid w:val="187529D0"/>
    <w:rsid w:val="187709E1"/>
    <w:rsid w:val="188287D8"/>
    <w:rsid w:val="188629EB"/>
    <w:rsid w:val="1888171C"/>
    <w:rsid w:val="188B6E41"/>
    <w:rsid w:val="18D8CF36"/>
    <w:rsid w:val="18EC2C1E"/>
    <w:rsid w:val="1903327E"/>
    <w:rsid w:val="19065BC4"/>
    <w:rsid w:val="190E4F0E"/>
    <w:rsid w:val="191A8060"/>
    <w:rsid w:val="191FE749"/>
    <w:rsid w:val="194646DD"/>
    <w:rsid w:val="19570247"/>
    <w:rsid w:val="195A0385"/>
    <w:rsid w:val="19A853C1"/>
    <w:rsid w:val="19AF8484"/>
    <w:rsid w:val="19B0F50E"/>
    <w:rsid w:val="1A15504F"/>
    <w:rsid w:val="1A1786FC"/>
    <w:rsid w:val="1A263520"/>
    <w:rsid w:val="1A3E1482"/>
    <w:rsid w:val="1A4C352C"/>
    <w:rsid w:val="1A6F9DB2"/>
    <w:rsid w:val="1A958FED"/>
    <w:rsid w:val="1A985DB8"/>
    <w:rsid w:val="1AE5F168"/>
    <w:rsid w:val="1B01E756"/>
    <w:rsid w:val="1B464B5F"/>
    <w:rsid w:val="1B4E2744"/>
    <w:rsid w:val="1B5BD537"/>
    <w:rsid w:val="1B5E9B82"/>
    <w:rsid w:val="1B625515"/>
    <w:rsid w:val="1B875173"/>
    <w:rsid w:val="1B971275"/>
    <w:rsid w:val="1BC1BB92"/>
    <w:rsid w:val="1BE56431"/>
    <w:rsid w:val="1C000ADF"/>
    <w:rsid w:val="1C2336F5"/>
    <w:rsid w:val="1C2E142E"/>
    <w:rsid w:val="1C2F6D4C"/>
    <w:rsid w:val="1C3B4EDB"/>
    <w:rsid w:val="1C5D36E0"/>
    <w:rsid w:val="1C623F6E"/>
    <w:rsid w:val="1C76E3EE"/>
    <w:rsid w:val="1C79BEA6"/>
    <w:rsid w:val="1C7AABE0"/>
    <w:rsid w:val="1CAB3129"/>
    <w:rsid w:val="1CE171C5"/>
    <w:rsid w:val="1CEA29C4"/>
    <w:rsid w:val="1D22F6B7"/>
    <w:rsid w:val="1D314382"/>
    <w:rsid w:val="1D7DDC25"/>
    <w:rsid w:val="1DA0BE87"/>
    <w:rsid w:val="1DAC0251"/>
    <w:rsid w:val="1DAE8674"/>
    <w:rsid w:val="1DD3D3C5"/>
    <w:rsid w:val="1DEE8CEC"/>
    <w:rsid w:val="1DF5FB80"/>
    <w:rsid w:val="1E23699C"/>
    <w:rsid w:val="1E25DB6A"/>
    <w:rsid w:val="1E2FCBC6"/>
    <w:rsid w:val="1E3FB2CD"/>
    <w:rsid w:val="1E780713"/>
    <w:rsid w:val="1E7B6EF8"/>
    <w:rsid w:val="1E91E708"/>
    <w:rsid w:val="1ED62503"/>
    <w:rsid w:val="1EE97D4F"/>
    <w:rsid w:val="1EEE6BD6"/>
    <w:rsid w:val="1EF34267"/>
    <w:rsid w:val="1F2E5A55"/>
    <w:rsid w:val="1F374307"/>
    <w:rsid w:val="1F3772CD"/>
    <w:rsid w:val="1F7BB8BD"/>
    <w:rsid w:val="1F8A904D"/>
    <w:rsid w:val="1FC60C68"/>
    <w:rsid w:val="1FF56CDC"/>
    <w:rsid w:val="20022CBB"/>
    <w:rsid w:val="2004A042"/>
    <w:rsid w:val="20160FF6"/>
    <w:rsid w:val="202078C4"/>
    <w:rsid w:val="202A64E0"/>
    <w:rsid w:val="203983BA"/>
    <w:rsid w:val="203D9D5F"/>
    <w:rsid w:val="20433CE4"/>
    <w:rsid w:val="20648B85"/>
    <w:rsid w:val="208207F9"/>
    <w:rsid w:val="2088713C"/>
    <w:rsid w:val="2088A9E6"/>
    <w:rsid w:val="208CF040"/>
    <w:rsid w:val="208F4C9A"/>
    <w:rsid w:val="20B363FC"/>
    <w:rsid w:val="20C1B94A"/>
    <w:rsid w:val="20DFB401"/>
    <w:rsid w:val="20E2B5E0"/>
    <w:rsid w:val="20F8979C"/>
    <w:rsid w:val="2103F9F8"/>
    <w:rsid w:val="2198F2F9"/>
    <w:rsid w:val="21A49E42"/>
    <w:rsid w:val="21A96B5C"/>
    <w:rsid w:val="21D9AF22"/>
    <w:rsid w:val="21DCE0F5"/>
    <w:rsid w:val="221A4AA2"/>
    <w:rsid w:val="221E0042"/>
    <w:rsid w:val="224DF3CE"/>
    <w:rsid w:val="228C416A"/>
    <w:rsid w:val="22A56061"/>
    <w:rsid w:val="22C08BE3"/>
    <w:rsid w:val="22CFE147"/>
    <w:rsid w:val="22ED139B"/>
    <w:rsid w:val="231B32A6"/>
    <w:rsid w:val="23262D7F"/>
    <w:rsid w:val="233FC303"/>
    <w:rsid w:val="234F190F"/>
    <w:rsid w:val="235C0AED"/>
    <w:rsid w:val="2363137B"/>
    <w:rsid w:val="2363BA34"/>
    <w:rsid w:val="236640BF"/>
    <w:rsid w:val="238E469A"/>
    <w:rsid w:val="23CED8E0"/>
    <w:rsid w:val="23F172A2"/>
    <w:rsid w:val="2416CFA9"/>
    <w:rsid w:val="24226A8D"/>
    <w:rsid w:val="24316225"/>
    <w:rsid w:val="244A5722"/>
    <w:rsid w:val="244BDC59"/>
    <w:rsid w:val="246A1887"/>
    <w:rsid w:val="2485DA55"/>
    <w:rsid w:val="249FE4BA"/>
    <w:rsid w:val="24D08C3A"/>
    <w:rsid w:val="24D9A492"/>
    <w:rsid w:val="24F00EFE"/>
    <w:rsid w:val="24FC67A4"/>
    <w:rsid w:val="24FFB42B"/>
    <w:rsid w:val="2516A46D"/>
    <w:rsid w:val="25298763"/>
    <w:rsid w:val="2560CEB0"/>
    <w:rsid w:val="2591A1AE"/>
    <w:rsid w:val="25A3A2BD"/>
    <w:rsid w:val="25AA1C07"/>
    <w:rsid w:val="25B6EBD8"/>
    <w:rsid w:val="25CB5690"/>
    <w:rsid w:val="26201735"/>
    <w:rsid w:val="2622E454"/>
    <w:rsid w:val="26296DDA"/>
    <w:rsid w:val="263BD05A"/>
    <w:rsid w:val="267A41BB"/>
    <w:rsid w:val="269764A1"/>
    <w:rsid w:val="2697FFAB"/>
    <w:rsid w:val="269F1005"/>
    <w:rsid w:val="26DA3625"/>
    <w:rsid w:val="274C2FD3"/>
    <w:rsid w:val="27B5947B"/>
    <w:rsid w:val="27CE08FE"/>
    <w:rsid w:val="27E200F7"/>
    <w:rsid w:val="27E3F0ED"/>
    <w:rsid w:val="28320F4A"/>
    <w:rsid w:val="284FE3CB"/>
    <w:rsid w:val="2850AE92"/>
    <w:rsid w:val="28636D34"/>
    <w:rsid w:val="28AC78F0"/>
    <w:rsid w:val="28BBED32"/>
    <w:rsid w:val="28E3AEA2"/>
    <w:rsid w:val="29091989"/>
    <w:rsid w:val="290F2FC8"/>
    <w:rsid w:val="29521ECC"/>
    <w:rsid w:val="297467DB"/>
    <w:rsid w:val="2977670B"/>
    <w:rsid w:val="297C58BE"/>
    <w:rsid w:val="297DFA50"/>
    <w:rsid w:val="2996B1B7"/>
    <w:rsid w:val="29981639"/>
    <w:rsid w:val="29C2D8C7"/>
    <w:rsid w:val="29E6F1DD"/>
    <w:rsid w:val="29FF102A"/>
    <w:rsid w:val="2A05D223"/>
    <w:rsid w:val="2A86EE7C"/>
    <w:rsid w:val="2AC98700"/>
    <w:rsid w:val="2B1C0C03"/>
    <w:rsid w:val="2B2097CE"/>
    <w:rsid w:val="2B32498A"/>
    <w:rsid w:val="2B34E75B"/>
    <w:rsid w:val="2B3536D3"/>
    <w:rsid w:val="2B475D39"/>
    <w:rsid w:val="2B611C13"/>
    <w:rsid w:val="2B80C478"/>
    <w:rsid w:val="2BA321F3"/>
    <w:rsid w:val="2BABB7D5"/>
    <w:rsid w:val="2BD6368D"/>
    <w:rsid w:val="2BE985F4"/>
    <w:rsid w:val="2C00245E"/>
    <w:rsid w:val="2C1E0658"/>
    <w:rsid w:val="2C26BDF8"/>
    <w:rsid w:val="2C3709BF"/>
    <w:rsid w:val="2C478071"/>
    <w:rsid w:val="2C50CC58"/>
    <w:rsid w:val="2C8A4CF7"/>
    <w:rsid w:val="2C92FD93"/>
    <w:rsid w:val="2C969C8F"/>
    <w:rsid w:val="2CE2B9F6"/>
    <w:rsid w:val="2CE4C8FE"/>
    <w:rsid w:val="2D03E517"/>
    <w:rsid w:val="2D23D7C9"/>
    <w:rsid w:val="2D3C06B1"/>
    <w:rsid w:val="2D3D6D4E"/>
    <w:rsid w:val="2D4150A0"/>
    <w:rsid w:val="2D45DBAC"/>
    <w:rsid w:val="2D886769"/>
    <w:rsid w:val="2DA44DD0"/>
    <w:rsid w:val="2DAC2A5F"/>
    <w:rsid w:val="2DC3D38A"/>
    <w:rsid w:val="2DD8AEA5"/>
    <w:rsid w:val="2DD98AC5"/>
    <w:rsid w:val="2DEE19AE"/>
    <w:rsid w:val="2DF5C709"/>
    <w:rsid w:val="2E13F654"/>
    <w:rsid w:val="2E4B6162"/>
    <w:rsid w:val="2E6A39FE"/>
    <w:rsid w:val="2E6A8354"/>
    <w:rsid w:val="2E6E8375"/>
    <w:rsid w:val="2E86838E"/>
    <w:rsid w:val="2E9EAE57"/>
    <w:rsid w:val="2EAEF698"/>
    <w:rsid w:val="2EB2348D"/>
    <w:rsid w:val="2EBA3166"/>
    <w:rsid w:val="2EBF741D"/>
    <w:rsid w:val="2ED4798B"/>
    <w:rsid w:val="2EF54F1A"/>
    <w:rsid w:val="2F0F1DFC"/>
    <w:rsid w:val="2F160DBA"/>
    <w:rsid w:val="2F2D3BFF"/>
    <w:rsid w:val="2F30C51A"/>
    <w:rsid w:val="2F47E48A"/>
    <w:rsid w:val="2F7A4179"/>
    <w:rsid w:val="2F810322"/>
    <w:rsid w:val="2F925D5C"/>
    <w:rsid w:val="2F9E95C2"/>
    <w:rsid w:val="2FF8A985"/>
    <w:rsid w:val="2FF96229"/>
    <w:rsid w:val="300DBC34"/>
    <w:rsid w:val="30313083"/>
    <w:rsid w:val="303859B4"/>
    <w:rsid w:val="303B8BB1"/>
    <w:rsid w:val="3062926A"/>
    <w:rsid w:val="307049EC"/>
    <w:rsid w:val="30731F88"/>
    <w:rsid w:val="30813F07"/>
    <w:rsid w:val="30D079F2"/>
    <w:rsid w:val="30E25024"/>
    <w:rsid w:val="30EB97BA"/>
    <w:rsid w:val="30EDFD9E"/>
    <w:rsid w:val="30FA2724"/>
    <w:rsid w:val="3130474C"/>
    <w:rsid w:val="3132278A"/>
    <w:rsid w:val="313A0FFE"/>
    <w:rsid w:val="31746F3E"/>
    <w:rsid w:val="31777E1C"/>
    <w:rsid w:val="31780390"/>
    <w:rsid w:val="318A5ECC"/>
    <w:rsid w:val="31B26AD7"/>
    <w:rsid w:val="31C60F95"/>
    <w:rsid w:val="320DAB51"/>
    <w:rsid w:val="322C0F05"/>
    <w:rsid w:val="3239E6DE"/>
    <w:rsid w:val="323C32B7"/>
    <w:rsid w:val="3262A304"/>
    <w:rsid w:val="32782A08"/>
    <w:rsid w:val="327E8942"/>
    <w:rsid w:val="3299862C"/>
    <w:rsid w:val="32A453EB"/>
    <w:rsid w:val="32A6D725"/>
    <w:rsid w:val="32C7121C"/>
    <w:rsid w:val="3307C55D"/>
    <w:rsid w:val="33194EEC"/>
    <w:rsid w:val="336CF4F1"/>
    <w:rsid w:val="337FD55F"/>
    <w:rsid w:val="3385F865"/>
    <w:rsid w:val="33B0471E"/>
    <w:rsid w:val="33B5F6E5"/>
    <w:rsid w:val="33B9378A"/>
    <w:rsid w:val="33C05F61"/>
    <w:rsid w:val="33DD4D05"/>
    <w:rsid w:val="33DE498E"/>
    <w:rsid w:val="33E68DA6"/>
    <w:rsid w:val="33ECB964"/>
    <w:rsid w:val="33F99396"/>
    <w:rsid w:val="33FC6FEB"/>
    <w:rsid w:val="341005AA"/>
    <w:rsid w:val="3431C7E6"/>
    <w:rsid w:val="3431F693"/>
    <w:rsid w:val="34340937"/>
    <w:rsid w:val="344BE030"/>
    <w:rsid w:val="34586934"/>
    <w:rsid w:val="34786558"/>
    <w:rsid w:val="348C2BC3"/>
    <w:rsid w:val="34A4D002"/>
    <w:rsid w:val="34AE5EF0"/>
    <w:rsid w:val="34C4C92D"/>
    <w:rsid w:val="34E1FE80"/>
    <w:rsid w:val="34F02779"/>
    <w:rsid w:val="34F73535"/>
    <w:rsid w:val="34FEDF18"/>
    <w:rsid w:val="35031C23"/>
    <w:rsid w:val="35280E06"/>
    <w:rsid w:val="3582EFE0"/>
    <w:rsid w:val="358AE008"/>
    <w:rsid w:val="35975E57"/>
    <w:rsid w:val="35AAC157"/>
    <w:rsid w:val="35B45D5F"/>
    <w:rsid w:val="35B8BFD0"/>
    <w:rsid w:val="35C4C3A8"/>
    <w:rsid w:val="3631A4AD"/>
    <w:rsid w:val="364EC81E"/>
    <w:rsid w:val="3678F8EE"/>
    <w:rsid w:val="3695EA1C"/>
    <w:rsid w:val="36C46325"/>
    <w:rsid w:val="36E61A08"/>
    <w:rsid w:val="36E66647"/>
    <w:rsid w:val="370F3E24"/>
    <w:rsid w:val="370F5ACD"/>
    <w:rsid w:val="3710D595"/>
    <w:rsid w:val="3713CE62"/>
    <w:rsid w:val="3724A4DA"/>
    <w:rsid w:val="373798FF"/>
    <w:rsid w:val="376908FF"/>
    <w:rsid w:val="37CBE80D"/>
    <w:rsid w:val="37CDB383"/>
    <w:rsid w:val="37D2FA5C"/>
    <w:rsid w:val="37D92EFA"/>
    <w:rsid w:val="37F1BF82"/>
    <w:rsid w:val="37F5A441"/>
    <w:rsid w:val="38337BE6"/>
    <w:rsid w:val="387266E1"/>
    <w:rsid w:val="3880DE5F"/>
    <w:rsid w:val="38A96EFF"/>
    <w:rsid w:val="38B96F04"/>
    <w:rsid w:val="38BE4E3C"/>
    <w:rsid w:val="38CFFD53"/>
    <w:rsid w:val="39036486"/>
    <w:rsid w:val="390A4E1F"/>
    <w:rsid w:val="393E28EA"/>
    <w:rsid w:val="39611F90"/>
    <w:rsid w:val="399174A2"/>
    <w:rsid w:val="39B43F93"/>
    <w:rsid w:val="39C4F37B"/>
    <w:rsid w:val="39EDAD7F"/>
    <w:rsid w:val="39F42789"/>
    <w:rsid w:val="3A0218F9"/>
    <w:rsid w:val="3A061AB1"/>
    <w:rsid w:val="3A0A9043"/>
    <w:rsid w:val="3A0F69B2"/>
    <w:rsid w:val="3A2A0153"/>
    <w:rsid w:val="3A551E8C"/>
    <w:rsid w:val="3A5601BF"/>
    <w:rsid w:val="3A5CE2FD"/>
    <w:rsid w:val="3A7B700D"/>
    <w:rsid w:val="3A96DD1A"/>
    <w:rsid w:val="3AA8D859"/>
    <w:rsid w:val="3AB06EAF"/>
    <w:rsid w:val="3AB57C0E"/>
    <w:rsid w:val="3AF2D48A"/>
    <w:rsid w:val="3B032DEF"/>
    <w:rsid w:val="3B2474F3"/>
    <w:rsid w:val="3B2F8AA8"/>
    <w:rsid w:val="3B4945E3"/>
    <w:rsid w:val="3B73B2F2"/>
    <w:rsid w:val="3B9B9CE3"/>
    <w:rsid w:val="3BB0682D"/>
    <w:rsid w:val="3BD2E59D"/>
    <w:rsid w:val="3BDBE96F"/>
    <w:rsid w:val="3BE446B8"/>
    <w:rsid w:val="3BEAA8F6"/>
    <w:rsid w:val="3C046F2B"/>
    <w:rsid w:val="3C184B3F"/>
    <w:rsid w:val="3C19A909"/>
    <w:rsid w:val="3C365C06"/>
    <w:rsid w:val="3CB85F5B"/>
    <w:rsid w:val="3CC1232E"/>
    <w:rsid w:val="3CC174B8"/>
    <w:rsid w:val="3D080EC2"/>
    <w:rsid w:val="3D163402"/>
    <w:rsid w:val="3D16C547"/>
    <w:rsid w:val="3D1AEBCB"/>
    <w:rsid w:val="3D3C0078"/>
    <w:rsid w:val="3D5C4CCA"/>
    <w:rsid w:val="3D6D7547"/>
    <w:rsid w:val="3DF749FB"/>
    <w:rsid w:val="3E0AD8F9"/>
    <w:rsid w:val="3E0EE6D8"/>
    <w:rsid w:val="3E1F8B3E"/>
    <w:rsid w:val="3E2E5980"/>
    <w:rsid w:val="3E353BB3"/>
    <w:rsid w:val="3E39A0A9"/>
    <w:rsid w:val="3E463695"/>
    <w:rsid w:val="3E55CD94"/>
    <w:rsid w:val="3E7402EA"/>
    <w:rsid w:val="3E86FD60"/>
    <w:rsid w:val="3EC3F246"/>
    <w:rsid w:val="3EC70AB9"/>
    <w:rsid w:val="3F1600FE"/>
    <w:rsid w:val="3F1BA34A"/>
    <w:rsid w:val="3F2FF06B"/>
    <w:rsid w:val="3F47EE9B"/>
    <w:rsid w:val="3F7C3893"/>
    <w:rsid w:val="3FAF6DED"/>
    <w:rsid w:val="3FC09C93"/>
    <w:rsid w:val="3FC8F571"/>
    <w:rsid w:val="3FE7D7EA"/>
    <w:rsid w:val="4024BEB3"/>
    <w:rsid w:val="402E3D46"/>
    <w:rsid w:val="4054FBA7"/>
    <w:rsid w:val="40994AEC"/>
    <w:rsid w:val="409961A8"/>
    <w:rsid w:val="40BA84FA"/>
    <w:rsid w:val="40CA4C4A"/>
    <w:rsid w:val="40CCEBF6"/>
    <w:rsid w:val="40CEFC04"/>
    <w:rsid w:val="412338CA"/>
    <w:rsid w:val="41344833"/>
    <w:rsid w:val="4158B198"/>
    <w:rsid w:val="41833071"/>
    <w:rsid w:val="4190DBAA"/>
    <w:rsid w:val="42166E23"/>
    <w:rsid w:val="423C317D"/>
    <w:rsid w:val="42526D77"/>
    <w:rsid w:val="42665CCC"/>
    <w:rsid w:val="42748DDC"/>
    <w:rsid w:val="427CD0B9"/>
    <w:rsid w:val="42800054"/>
    <w:rsid w:val="42BF2F1D"/>
    <w:rsid w:val="42D6DE29"/>
    <w:rsid w:val="42D7B20C"/>
    <w:rsid w:val="42E108D0"/>
    <w:rsid w:val="42EA1A9F"/>
    <w:rsid w:val="42F4B23E"/>
    <w:rsid w:val="430BCE7C"/>
    <w:rsid w:val="431C8C38"/>
    <w:rsid w:val="431F00D2"/>
    <w:rsid w:val="43268698"/>
    <w:rsid w:val="4334A241"/>
    <w:rsid w:val="43617EA6"/>
    <w:rsid w:val="4361EF90"/>
    <w:rsid w:val="436F2A11"/>
    <w:rsid w:val="438445F4"/>
    <w:rsid w:val="4385DB1C"/>
    <w:rsid w:val="4390862E"/>
    <w:rsid w:val="43B2AEB2"/>
    <w:rsid w:val="43BE01D7"/>
    <w:rsid w:val="43CAA197"/>
    <w:rsid w:val="43D03240"/>
    <w:rsid w:val="43DA2304"/>
    <w:rsid w:val="4431A1AE"/>
    <w:rsid w:val="44C88C38"/>
    <w:rsid w:val="44CFEDA1"/>
    <w:rsid w:val="4519ED4D"/>
    <w:rsid w:val="45574AAA"/>
    <w:rsid w:val="457828E0"/>
    <w:rsid w:val="4591AFEE"/>
    <w:rsid w:val="459E4095"/>
    <w:rsid w:val="45CE7F04"/>
    <w:rsid w:val="45E3F60D"/>
    <w:rsid w:val="45EB8FD0"/>
    <w:rsid w:val="45FC13E5"/>
    <w:rsid w:val="45FF8854"/>
    <w:rsid w:val="461B68D4"/>
    <w:rsid w:val="46204807"/>
    <w:rsid w:val="46378C60"/>
    <w:rsid w:val="463EF7E0"/>
    <w:rsid w:val="46414DEF"/>
    <w:rsid w:val="464B4631"/>
    <w:rsid w:val="46623FF3"/>
    <w:rsid w:val="468B9426"/>
    <w:rsid w:val="4694E2B5"/>
    <w:rsid w:val="46ADB7A8"/>
    <w:rsid w:val="46EB4734"/>
    <w:rsid w:val="47132074"/>
    <w:rsid w:val="472EC4DD"/>
    <w:rsid w:val="473DAFA5"/>
    <w:rsid w:val="47716893"/>
    <w:rsid w:val="47807EA3"/>
    <w:rsid w:val="47ABC89D"/>
    <w:rsid w:val="47B9E1D7"/>
    <w:rsid w:val="47C68733"/>
    <w:rsid w:val="47D4865E"/>
    <w:rsid w:val="47DFC3C7"/>
    <w:rsid w:val="480EB8CA"/>
    <w:rsid w:val="48296747"/>
    <w:rsid w:val="48360BF8"/>
    <w:rsid w:val="486E7FFB"/>
    <w:rsid w:val="487A0A78"/>
    <w:rsid w:val="487B678E"/>
    <w:rsid w:val="489DC6C7"/>
    <w:rsid w:val="48B1465F"/>
    <w:rsid w:val="48D94BBC"/>
    <w:rsid w:val="48E4016B"/>
    <w:rsid w:val="48FDFA94"/>
    <w:rsid w:val="491B96CF"/>
    <w:rsid w:val="49343BE4"/>
    <w:rsid w:val="4943A1F1"/>
    <w:rsid w:val="4982A692"/>
    <w:rsid w:val="4984D38E"/>
    <w:rsid w:val="4993CDDF"/>
    <w:rsid w:val="49A8089C"/>
    <w:rsid w:val="49CA2C28"/>
    <w:rsid w:val="49CD73D4"/>
    <w:rsid w:val="49E0586F"/>
    <w:rsid w:val="49E3CBB3"/>
    <w:rsid w:val="4A11E764"/>
    <w:rsid w:val="4A1F7327"/>
    <w:rsid w:val="4A207695"/>
    <w:rsid w:val="4A30045F"/>
    <w:rsid w:val="4A689D84"/>
    <w:rsid w:val="4A9B0368"/>
    <w:rsid w:val="4A9EAF3A"/>
    <w:rsid w:val="4AAECBBF"/>
    <w:rsid w:val="4AB76730"/>
    <w:rsid w:val="4AC4A625"/>
    <w:rsid w:val="4AD93304"/>
    <w:rsid w:val="4B0FBE18"/>
    <w:rsid w:val="4B240A09"/>
    <w:rsid w:val="4B277DE4"/>
    <w:rsid w:val="4B53895B"/>
    <w:rsid w:val="4B5E29D1"/>
    <w:rsid w:val="4B9C34FF"/>
    <w:rsid w:val="4BA81926"/>
    <w:rsid w:val="4BB305C5"/>
    <w:rsid w:val="4BD76B97"/>
    <w:rsid w:val="4C238F5C"/>
    <w:rsid w:val="4C309B9F"/>
    <w:rsid w:val="4C3125F3"/>
    <w:rsid w:val="4C6CE5F1"/>
    <w:rsid w:val="4C992CE5"/>
    <w:rsid w:val="4CDBE6AA"/>
    <w:rsid w:val="4CF7481F"/>
    <w:rsid w:val="4CFCE3FA"/>
    <w:rsid w:val="4D1D180E"/>
    <w:rsid w:val="4D21872B"/>
    <w:rsid w:val="4D25843B"/>
    <w:rsid w:val="4D82C54E"/>
    <w:rsid w:val="4DD8647F"/>
    <w:rsid w:val="4DDE41D3"/>
    <w:rsid w:val="4DE3E461"/>
    <w:rsid w:val="4E1BA094"/>
    <w:rsid w:val="4E2AC003"/>
    <w:rsid w:val="4E3A69B4"/>
    <w:rsid w:val="4E566F02"/>
    <w:rsid w:val="4E772128"/>
    <w:rsid w:val="4E7C96FE"/>
    <w:rsid w:val="4E7DF0C0"/>
    <w:rsid w:val="4E812133"/>
    <w:rsid w:val="4EA3E3C4"/>
    <w:rsid w:val="4EC867DB"/>
    <w:rsid w:val="4ED5AC1D"/>
    <w:rsid w:val="4EE4B8CA"/>
    <w:rsid w:val="4EF8374D"/>
    <w:rsid w:val="4F04DBD6"/>
    <w:rsid w:val="4F2E8B2F"/>
    <w:rsid w:val="4F46F196"/>
    <w:rsid w:val="4F6EC456"/>
    <w:rsid w:val="4F740A40"/>
    <w:rsid w:val="4F77AFD6"/>
    <w:rsid w:val="4F952FBD"/>
    <w:rsid w:val="4F9AA17B"/>
    <w:rsid w:val="4FBEC33A"/>
    <w:rsid w:val="4FD00015"/>
    <w:rsid w:val="4FFF0476"/>
    <w:rsid w:val="50124B00"/>
    <w:rsid w:val="5034E9E7"/>
    <w:rsid w:val="507C0226"/>
    <w:rsid w:val="50823576"/>
    <w:rsid w:val="50925949"/>
    <w:rsid w:val="5093B586"/>
    <w:rsid w:val="50A0AC37"/>
    <w:rsid w:val="50AC8689"/>
    <w:rsid w:val="50BCF5D4"/>
    <w:rsid w:val="50D78592"/>
    <w:rsid w:val="50E0AF19"/>
    <w:rsid w:val="50E8F34C"/>
    <w:rsid w:val="50FBBFD7"/>
    <w:rsid w:val="511A8895"/>
    <w:rsid w:val="513C5854"/>
    <w:rsid w:val="51509D80"/>
    <w:rsid w:val="51620F1B"/>
    <w:rsid w:val="51D2CFA3"/>
    <w:rsid w:val="51E7E0F1"/>
    <w:rsid w:val="520B54B0"/>
    <w:rsid w:val="520D01F2"/>
    <w:rsid w:val="5214CDA2"/>
    <w:rsid w:val="5217D71C"/>
    <w:rsid w:val="522105EF"/>
    <w:rsid w:val="5254DF25"/>
    <w:rsid w:val="525DDBDF"/>
    <w:rsid w:val="5262A3EC"/>
    <w:rsid w:val="526B7B5A"/>
    <w:rsid w:val="528B5850"/>
    <w:rsid w:val="52C18F8B"/>
    <w:rsid w:val="52C48FBD"/>
    <w:rsid w:val="52E6F294"/>
    <w:rsid w:val="53134E3E"/>
    <w:rsid w:val="532187C8"/>
    <w:rsid w:val="532F896B"/>
    <w:rsid w:val="533B4CDF"/>
    <w:rsid w:val="535806EF"/>
    <w:rsid w:val="5364DFB3"/>
    <w:rsid w:val="5371E441"/>
    <w:rsid w:val="537775FA"/>
    <w:rsid w:val="539B31EF"/>
    <w:rsid w:val="53A23C4A"/>
    <w:rsid w:val="540E3DD6"/>
    <w:rsid w:val="5425AB5B"/>
    <w:rsid w:val="54781AB9"/>
    <w:rsid w:val="547BDF69"/>
    <w:rsid w:val="5493DD09"/>
    <w:rsid w:val="549D003C"/>
    <w:rsid w:val="549F305F"/>
    <w:rsid w:val="54AC5023"/>
    <w:rsid w:val="54BCAC95"/>
    <w:rsid w:val="54BFF152"/>
    <w:rsid w:val="55016BB1"/>
    <w:rsid w:val="5504A70E"/>
    <w:rsid w:val="550F4255"/>
    <w:rsid w:val="5548AFBF"/>
    <w:rsid w:val="5585AF83"/>
    <w:rsid w:val="5599EA1C"/>
    <w:rsid w:val="55A1C718"/>
    <w:rsid w:val="55D5C6BD"/>
    <w:rsid w:val="55EBF4AD"/>
    <w:rsid w:val="55EE8E51"/>
    <w:rsid w:val="561BF542"/>
    <w:rsid w:val="5639AC0F"/>
    <w:rsid w:val="565AB657"/>
    <w:rsid w:val="5671E2EF"/>
    <w:rsid w:val="567BBA22"/>
    <w:rsid w:val="56A548E5"/>
    <w:rsid w:val="56AEC2E2"/>
    <w:rsid w:val="56AED9A1"/>
    <w:rsid w:val="56CB17A5"/>
    <w:rsid w:val="56D40760"/>
    <w:rsid w:val="56E43B75"/>
    <w:rsid w:val="56EDA163"/>
    <w:rsid w:val="56FCECD7"/>
    <w:rsid w:val="57220238"/>
    <w:rsid w:val="5725BDCF"/>
    <w:rsid w:val="573B090C"/>
    <w:rsid w:val="5747D7CE"/>
    <w:rsid w:val="575169FC"/>
    <w:rsid w:val="575EF09D"/>
    <w:rsid w:val="576FF579"/>
    <w:rsid w:val="578D0AA4"/>
    <w:rsid w:val="57926444"/>
    <w:rsid w:val="57B9B280"/>
    <w:rsid w:val="57DFB491"/>
    <w:rsid w:val="5804CEB6"/>
    <w:rsid w:val="580D8A24"/>
    <w:rsid w:val="5810252D"/>
    <w:rsid w:val="582BDA3D"/>
    <w:rsid w:val="5833FE25"/>
    <w:rsid w:val="583B70FA"/>
    <w:rsid w:val="58499A44"/>
    <w:rsid w:val="586F88AF"/>
    <w:rsid w:val="586FDEF8"/>
    <w:rsid w:val="587899BF"/>
    <w:rsid w:val="589BB150"/>
    <w:rsid w:val="58AABE54"/>
    <w:rsid w:val="58AE4555"/>
    <w:rsid w:val="58C780DD"/>
    <w:rsid w:val="58CC647C"/>
    <w:rsid w:val="58D2579F"/>
    <w:rsid w:val="58F50F42"/>
    <w:rsid w:val="59289801"/>
    <w:rsid w:val="593CA4E0"/>
    <w:rsid w:val="5943BABF"/>
    <w:rsid w:val="5947927D"/>
    <w:rsid w:val="594C81F1"/>
    <w:rsid w:val="59543BD5"/>
    <w:rsid w:val="5973680F"/>
    <w:rsid w:val="5974C5F4"/>
    <w:rsid w:val="59AEE5E1"/>
    <w:rsid w:val="59BB25AF"/>
    <w:rsid w:val="5A0906C3"/>
    <w:rsid w:val="5A202F16"/>
    <w:rsid w:val="5A47B94C"/>
    <w:rsid w:val="5A64EA62"/>
    <w:rsid w:val="5A69CD9E"/>
    <w:rsid w:val="5A6CBC1A"/>
    <w:rsid w:val="5A6D4A1A"/>
    <w:rsid w:val="5AB53A3D"/>
    <w:rsid w:val="5AB9FDD6"/>
    <w:rsid w:val="5ABBB7FB"/>
    <w:rsid w:val="5ACA123D"/>
    <w:rsid w:val="5B102FC9"/>
    <w:rsid w:val="5B200C73"/>
    <w:rsid w:val="5B4C7A5C"/>
    <w:rsid w:val="5B704360"/>
    <w:rsid w:val="5BE4778A"/>
    <w:rsid w:val="5BEBB6E4"/>
    <w:rsid w:val="5BFC5E15"/>
    <w:rsid w:val="5C11BD69"/>
    <w:rsid w:val="5C149C0E"/>
    <w:rsid w:val="5C1CA05E"/>
    <w:rsid w:val="5C2255ED"/>
    <w:rsid w:val="5C2463BC"/>
    <w:rsid w:val="5C557986"/>
    <w:rsid w:val="5C8ED0E3"/>
    <w:rsid w:val="5CAE9CE3"/>
    <w:rsid w:val="5CCC0B77"/>
    <w:rsid w:val="5CD202FA"/>
    <w:rsid w:val="5CDDDCB7"/>
    <w:rsid w:val="5D172F69"/>
    <w:rsid w:val="5D17483D"/>
    <w:rsid w:val="5D2E9753"/>
    <w:rsid w:val="5D4282EF"/>
    <w:rsid w:val="5D4BB172"/>
    <w:rsid w:val="5D8CD794"/>
    <w:rsid w:val="5D9CAA76"/>
    <w:rsid w:val="5D9D2823"/>
    <w:rsid w:val="5DA6A3EF"/>
    <w:rsid w:val="5DBB2E9D"/>
    <w:rsid w:val="5DD15979"/>
    <w:rsid w:val="5DE95F10"/>
    <w:rsid w:val="5DFA57F9"/>
    <w:rsid w:val="5E06CAB7"/>
    <w:rsid w:val="5E1A9478"/>
    <w:rsid w:val="5EA49ED2"/>
    <w:rsid w:val="5EC21942"/>
    <w:rsid w:val="5EEAF24E"/>
    <w:rsid w:val="5EEF9205"/>
    <w:rsid w:val="5EEFDF1B"/>
    <w:rsid w:val="5F181C9C"/>
    <w:rsid w:val="5F4F23D0"/>
    <w:rsid w:val="5F57FD62"/>
    <w:rsid w:val="5F5EDB27"/>
    <w:rsid w:val="5FA5CACD"/>
    <w:rsid w:val="5FBBC375"/>
    <w:rsid w:val="5FBCEABE"/>
    <w:rsid w:val="5FD69793"/>
    <w:rsid w:val="6000A78A"/>
    <w:rsid w:val="6010FC3E"/>
    <w:rsid w:val="603E20A8"/>
    <w:rsid w:val="60481A9A"/>
    <w:rsid w:val="608DC6D2"/>
    <w:rsid w:val="608E7085"/>
    <w:rsid w:val="60905958"/>
    <w:rsid w:val="6097E162"/>
    <w:rsid w:val="60C7B0DB"/>
    <w:rsid w:val="60DDA0AD"/>
    <w:rsid w:val="61053897"/>
    <w:rsid w:val="61064FBC"/>
    <w:rsid w:val="613E6B79"/>
    <w:rsid w:val="614D5D7B"/>
    <w:rsid w:val="6162C8BC"/>
    <w:rsid w:val="6194A1FE"/>
    <w:rsid w:val="61C7879D"/>
    <w:rsid w:val="61DAF763"/>
    <w:rsid w:val="61E140E3"/>
    <w:rsid w:val="61E57931"/>
    <w:rsid w:val="622A273B"/>
    <w:rsid w:val="6269B0DE"/>
    <w:rsid w:val="62733EF4"/>
    <w:rsid w:val="627476E4"/>
    <w:rsid w:val="62A75D52"/>
    <w:rsid w:val="62CBC869"/>
    <w:rsid w:val="62D1F861"/>
    <w:rsid w:val="62DFF5F1"/>
    <w:rsid w:val="62F61A30"/>
    <w:rsid w:val="62FA4189"/>
    <w:rsid w:val="63036E7F"/>
    <w:rsid w:val="63049B18"/>
    <w:rsid w:val="630FB85A"/>
    <w:rsid w:val="63278D6D"/>
    <w:rsid w:val="6366CDB2"/>
    <w:rsid w:val="637B0583"/>
    <w:rsid w:val="63B2EB76"/>
    <w:rsid w:val="63BB7252"/>
    <w:rsid w:val="63E38EE0"/>
    <w:rsid w:val="6421B0FA"/>
    <w:rsid w:val="64265737"/>
    <w:rsid w:val="643B295A"/>
    <w:rsid w:val="643C677E"/>
    <w:rsid w:val="6445F9CF"/>
    <w:rsid w:val="644ECF55"/>
    <w:rsid w:val="64512135"/>
    <w:rsid w:val="64567FDB"/>
    <w:rsid w:val="645B1C9B"/>
    <w:rsid w:val="648F3498"/>
    <w:rsid w:val="64B215EE"/>
    <w:rsid w:val="650DA461"/>
    <w:rsid w:val="650F39B9"/>
    <w:rsid w:val="652D111A"/>
    <w:rsid w:val="6542BB2C"/>
    <w:rsid w:val="6553E9AF"/>
    <w:rsid w:val="65E1CD98"/>
    <w:rsid w:val="6611DC9C"/>
    <w:rsid w:val="6623DFBB"/>
    <w:rsid w:val="662896B7"/>
    <w:rsid w:val="662B04F9"/>
    <w:rsid w:val="667792A2"/>
    <w:rsid w:val="6697C21C"/>
    <w:rsid w:val="66AEC03F"/>
    <w:rsid w:val="66BCA513"/>
    <w:rsid w:val="66BF1373"/>
    <w:rsid w:val="66DC99E6"/>
    <w:rsid w:val="66F983EE"/>
    <w:rsid w:val="66FBA3F3"/>
    <w:rsid w:val="67029177"/>
    <w:rsid w:val="67321EFB"/>
    <w:rsid w:val="673E3F22"/>
    <w:rsid w:val="67401876"/>
    <w:rsid w:val="6771CB0E"/>
    <w:rsid w:val="677FF264"/>
    <w:rsid w:val="67AB98E2"/>
    <w:rsid w:val="67B21E34"/>
    <w:rsid w:val="67BC9EFF"/>
    <w:rsid w:val="67CD0671"/>
    <w:rsid w:val="67DF40EB"/>
    <w:rsid w:val="67FD5317"/>
    <w:rsid w:val="6832495B"/>
    <w:rsid w:val="683D7918"/>
    <w:rsid w:val="685587C9"/>
    <w:rsid w:val="686B9AD8"/>
    <w:rsid w:val="6884AAAB"/>
    <w:rsid w:val="688F4C0F"/>
    <w:rsid w:val="68B8F330"/>
    <w:rsid w:val="68BDC581"/>
    <w:rsid w:val="68C617CC"/>
    <w:rsid w:val="68DB5CFE"/>
    <w:rsid w:val="68E75835"/>
    <w:rsid w:val="68EA9653"/>
    <w:rsid w:val="692000E6"/>
    <w:rsid w:val="69300F05"/>
    <w:rsid w:val="694D4EAF"/>
    <w:rsid w:val="6965FED8"/>
    <w:rsid w:val="6975735D"/>
    <w:rsid w:val="697BAFAB"/>
    <w:rsid w:val="69841AA4"/>
    <w:rsid w:val="69A1CECF"/>
    <w:rsid w:val="69E188C7"/>
    <w:rsid w:val="69FE1A0E"/>
    <w:rsid w:val="6A1D6E18"/>
    <w:rsid w:val="6A571571"/>
    <w:rsid w:val="6A78C548"/>
    <w:rsid w:val="6A9C484D"/>
    <w:rsid w:val="6AA2CBB8"/>
    <w:rsid w:val="6AC4A039"/>
    <w:rsid w:val="6AD2A4E4"/>
    <w:rsid w:val="6ADB1764"/>
    <w:rsid w:val="6AFBF40E"/>
    <w:rsid w:val="6B22F74F"/>
    <w:rsid w:val="6B259CBD"/>
    <w:rsid w:val="6B2FF3AD"/>
    <w:rsid w:val="6B528DE6"/>
    <w:rsid w:val="6B565369"/>
    <w:rsid w:val="6B802427"/>
    <w:rsid w:val="6BA0C387"/>
    <w:rsid w:val="6BACD487"/>
    <w:rsid w:val="6BB7FAFE"/>
    <w:rsid w:val="6BD2BF43"/>
    <w:rsid w:val="6BF5C48F"/>
    <w:rsid w:val="6BFC2673"/>
    <w:rsid w:val="6C10B6CC"/>
    <w:rsid w:val="6C36D2D9"/>
    <w:rsid w:val="6C3A822C"/>
    <w:rsid w:val="6C4F5D97"/>
    <w:rsid w:val="6C6E4D5E"/>
    <w:rsid w:val="6C7053FD"/>
    <w:rsid w:val="6C7D5492"/>
    <w:rsid w:val="6C96779E"/>
    <w:rsid w:val="6C98ABC1"/>
    <w:rsid w:val="6CAA67C3"/>
    <w:rsid w:val="6CDE2906"/>
    <w:rsid w:val="6D0ACDB3"/>
    <w:rsid w:val="6D50B7C0"/>
    <w:rsid w:val="6D5E5B70"/>
    <w:rsid w:val="6D8C521F"/>
    <w:rsid w:val="6D9327FA"/>
    <w:rsid w:val="6D98FCD2"/>
    <w:rsid w:val="6D9959B0"/>
    <w:rsid w:val="6DA78D20"/>
    <w:rsid w:val="6DB93526"/>
    <w:rsid w:val="6DBE606F"/>
    <w:rsid w:val="6DCC72D3"/>
    <w:rsid w:val="6DD36BC2"/>
    <w:rsid w:val="6DD4B2C8"/>
    <w:rsid w:val="6E09D0CB"/>
    <w:rsid w:val="6E294F68"/>
    <w:rsid w:val="6E2F0EF2"/>
    <w:rsid w:val="6E35B321"/>
    <w:rsid w:val="6E5D5EBC"/>
    <w:rsid w:val="6E7F38F6"/>
    <w:rsid w:val="6E97B197"/>
    <w:rsid w:val="6E9B9575"/>
    <w:rsid w:val="6EA50A93"/>
    <w:rsid w:val="6EB307E7"/>
    <w:rsid w:val="6EF4C907"/>
    <w:rsid w:val="6F38E56E"/>
    <w:rsid w:val="6F827B5F"/>
    <w:rsid w:val="6F9337E3"/>
    <w:rsid w:val="6FAFE764"/>
    <w:rsid w:val="6FBA2A13"/>
    <w:rsid w:val="6FC643C2"/>
    <w:rsid w:val="6FD22F99"/>
    <w:rsid w:val="6FD94DDD"/>
    <w:rsid w:val="6FFE97D6"/>
    <w:rsid w:val="70084946"/>
    <w:rsid w:val="700C402A"/>
    <w:rsid w:val="70124D77"/>
    <w:rsid w:val="703DD6C8"/>
    <w:rsid w:val="704ADF63"/>
    <w:rsid w:val="7075FF9F"/>
    <w:rsid w:val="707741BA"/>
    <w:rsid w:val="70817E0D"/>
    <w:rsid w:val="70984E1A"/>
    <w:rsid w:val="70BD160A"/>
    <w:rsid w:val="70E70BA5"/>
    <w:rsid w:val="7136D890"/>
    <w:rsid w:val="713D20C5"/>
    <w:rsid w:val="71B6D8DD"/>
    <w:rsid w:val="71BC72DD"/>
    <w:rsid w:val="71BDA6EE"/>
    <w:rsid w:val="71C42658"/>
    <w:rsid w:val="71E1CD66"/>
    <w:rsid w:val="71F69143"/>
    <w:rsid w:val="71F6B358"/>
    <w:rsid w:val="7201ED68"/>
    <w:rsid w:val="722B38BE"/>
    <w:rsid w:val="722E3EE6"/>
    <w:rsid w:val="723E225F"/>
    <w:rsid w:val="72465CF4"/>
    <w:rsid w:val="72539203"/>
    <w:rsid w:val="7274EA97"/>
    <w:rsid w:val="7276C974"/>
    <w:rsid w:val="728CA649"/>
    <w:rsid w:val="72930015"/>
    <w:rsid w:val="72DC2874"/>
    <w:rsid w:val="72E54759"/>
    <w:rsid w:val="72F1F842"/>
    <w:rsid w:val="72F356F7"/>
    <w:rsid w:val="72F9B187"/>
    <w:rsid w:val="730DA211"/>
    <w:rsid w:val="733EA04D"/>
    <w:rsid w:val="7349D61B"/>
    <w:rsid w:val="735CCAFA"/>
    <w:rsid w:val="7406564B"/>
    <w:rsid w:val="741129FF"/>
    <w:rsid w:val="74267C58"/>
    <w:rsid w:val="742F0D07"/>
    <w:rsid w:val="747CC682"/>
    <w:rsid w:val="74A2856B"/>
    <w:rsid w:val="74ABB156"/>
    <w:rsid w:val="74BB030F"/>
    <w:rsid w:val="74D22530"/>
    <w:rsid w:val="7529F11F"/>
    <w:rsid w:val="752B97B7"/>
    <w:rsid w:val="752CEE56"/>
    <w:rsid w:val="755233DC"/>
    <w:rsid w:val="7594AD1B"/>
    <w:rsid w:val="75A8DA7D"/>
    <w:rsid w:val="75BB3F12"/>
    <w:rsid w:val="761D0EE5"/>
    <w:rsid w:val="762B5983"/>
    <w:rsid w:val="76618FB0"/>
    <w:rsid w:val="76F65E1C"/>
    <w:rsid w:val="77030C82"/>
    <w:rsid w:val="77118700"/>
    <w:rsid w:val="7729475D"/>
    <w:rsid w:val="774749DA"/>
    <w:rsid w:val="7788AB73"/>
    <w:rsid w:val="77AFD421"/>
    <w:rsid w:val="77CD4E8C"/>
    <w:rsid w:val="77D69E69"/>
    <w:rsid w:val="77DFE0F8"/>
    <w:rsid w:val="77ED5FFB"/>
    <w:rsid w:val="77EE7C9A"/>
    <w:rsid w:val="780EEA9F"/>
    <w:rsid w:val="782022AA"/>
    <w:rsid w:val="7824B219"/>
    <w:rsid w:val="783C3BAA"/>
    <w:rsid w:val="783FEF1D"/>
    <w:rsid w:val="789E6B5D"/>
    <w:rsid w:val="78A0ABCB"/>
    <w:rsid w:val="78C637C4"/>
    <w:rsid w:val="78F5C0DC"/>
    <w:rsid w:val="78F6C8BB"/>
    <w:rsid w:val="7920BBF2"/>
    <w:rsid w:val="79252074"/>
    <w:rsid w:val="7933BD31"/>
    <w:rsid w:val="793C3F78"/>
    <w:rsid w:val="79476423"/>
    <w:rsid w:val="794A9C31"/>
    <w:rsid w:val="79C8B625"/>
    <w:rsid w:val="79D6C524"/>
    <w:rsid w:val="79E97433"/>
    <w:rsid w:val="79F2AE18"/>
    <w:rsid w:val="79F90EB8"/>
    <w:rsid w:val="7A024B4B"/>
    <w:rsid w:val="7A06AC32"/>
    <w:rsid w:val="7A12468E"/>
    <w:rsid w:val="7A162103"/>
    <w:rsid w:val="7A327D72"/>
    <w:rsid w:val="7A330E6C"/>
    <w:rsid w:val="7A36DC4A"/>
    <w:rsid w:val="7A3C7C2C"/>
    <w:rsid w:val="7A4800FF"/>
    <w:rsid w:val="7A63B3E6"/>
    <w:rsid w:val="7A70E1B4"/>
    <w:rsid w:val="7A759CBC"/>
    <w:rsid w:val="7A75DEC0"/>
    <w:rsid w:val="7A7F2F16"/>
    <w:rsid w:val="7A808F30"/>
    <w:rsid w:val="7A84DFAC"/>
    <w:rsid w:val="7ACF0005"/>
    <w:rsid w:val="7AD4B0B8"/>
    <w:rsid w:val="7ADEA75B"/>
    <w:rsid w:val="7AFBC499"/>
    <w:rsid w:val="7B2441D6"/>
    <w:rsid w:val="7B38D5D3"/>
    <w:rsid w:val="7BC03F77"/>
    <w:rsid w:val="7BEF347C"/>
    <w:rsid w:val="7BF2C2D4"/>
    <w:rsid w:val="7C034739"/>
    <w:rsid w:val="7C1FD3A7"/>
    <w:rsid w:val="7C223BAA"/>
    <w:rsid w:val="7C3CD68C"/>
    <w:rsid w:val="7C70C491"/>
    <w:rsid w:val="7CA9174D"/>
    <w:rsid w:val="7CB179AD"/>
    <w:rsid w:val="7CB7E807"/>
    <w:rsid w:val="7CC95320"/>
    <w:rsid w:val="7CDB09E9"/>
    <w:rsid w:val="7D4BDA6D"/>
    <w:rsid w:val="7D578A1F"/>
    <w:rsid w:val="7D5F02AE"/>
    <w:rsid w:val="7D76F295"/>
    <w:rsid w:val="7D881314"/>
    <w:rsid w:val="7DAD1EB5"/>
    <w:rsid w:val="7E06A0C7"/>
    <w:rsid w:val="7E0D7D23"/>
    <w:rsid w:val="7E1356B8"/>
    <w:rsid w:val="7E149EDC"/>
    <w:rsid w:val="7E1D4EE1"/>
    <w:rsid w:val="7E54294E"/>
    <w:rsid w:val="7E56B61D"/>
    <w:rsid w:val="7E5F4059"/>
    <w:rsid w:val="7E6CA3EF"/>
    <w:rsid w:val="7E87CBDF"/>
    <w:rsid w:val="7E8ED30B"/>
    <w:rsid w:val="7EC4AF64"/>
    <w:rsid w:val="7F0645E0"/>
    <w:rsid w:val="7F136639"/>
    <w:rsid w:val="7F143343"/>
    <w:rsid w:val="7F254545"/>
    <w:rsid w:val="7F3C9DEC"/>
    <w:rsid w:val="7F4B6778"/>
    <w:rsid w:val="7F4E1D0B"/>
    <w:rsid w:val="7F4E90A0"/>
    <w:rsid w:val="7F57E2DF"/>
    <w:rsid w:val="7F6F4009"/>
    <w:rsid w:val="7F7B7E61"/>
    <w:rsid w:val="7FA94D84"/>
    <w:rsid w:val="7FB8805B"/>
    <w:rsid w:val="7FC68F1F"/>
    <w:rsid w:val="7FFC091B"/>
    <w:rsid w:val="7FFD654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5ECCB4"/>
  <w15:docId w15:val="{123C8466-0ECB-4331-A5AA-E04150787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Theme="minorEastAsia" w:hAnsi="Raleway"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886"/>
    <w:pPr>
      <w:spacing w:before="240" w:line="276" w:lineRule="auto"/>
    </w:pPr>
  </w:style>
  <w:style w:type="paragraph" w:styleId="Heading1">
    <w:name w:val="heading 1"/>
    <w:basedOn w:val="Normal"/>
    <w:next w:val="Normal"/>
    <w:link w:val="Heading1Char"/>
    <w:autoRedefine/>
    <w:uiPriority w:val="9"/>
    <w:qFormat/>
    <w:rsid w:val="00AA5ACE"/>
    <w:pPr>
      <w:keepNext/>
      <w:keepLines/>
      <w:numPr>
        <w:numId w:val="48"/>
      </w:numPr>
      <w:spacing w:after="240" w:line="240" w:lineRule="auto"/>
      <w:outlineLvl w:val="0"/>
    </w:pPr>
    <w:rPr>
      <w:rFonts w:eastAsiaTheme="majorEastAsia" w:cstheme="majorBidi"/>
      <w:b/>
      <w:bCs/>
      <w:color w:val="005160" w:themeColor="text2" w:themeShade="BF"/>
      <w:sz w:val="36"/>
      <w:szCs w:val="20"/>
      <w:lang w:eastAsia="en-CA"/>
    </w:rPr>
  </w:style>
  <w:style w:type="paragraph" w:styleId="Heading2">
    <w:name w:val="heading 2"/>
    <w:basedOn w:val="Normal"/>
    <w:next w:val="Normal"/>
    <w:link w:val="Heading2Char"/>
    <w:autoRedefine/>
    <w:uiPriority w:val="9"/>
    <w:unhideWhenUsed/>
    <w:qFormat/>
    <w:rsid w:val="006F3345"/>
    <w:pPr>
      <w:keepNext/>
      <w:keepLines/>
      <w:tabs>
        <w:tab w:val="left" w:pos="8190"/>
      </w:tabs>
      <w:spacing w:before="120" w:after="120" w:line="240" w:lineRule="auto"/>
      <w:outlineLvl w:val="1"/>
    </w:pPr>
    <w:rPr>
      <w:rFonts w:eastAsiaTheme="majorEastAsia" w:cstheme="majorBidi"/>
      <w:b/>
      <w:bCs/>
      <w:smallCaps/>
      <w:color w:val="006E81" w:themeColor="text2"/>
      <w:sz w:val="28"/>
      <w:szCs w:val="28"/>
    </w:rPr>
  </w:style>
  <w:style w:type="paragraph" w:styleId="Heading3">
    <w:name w:val="heading 3"/>
    <w:basedOn w:val="Normal"/>
    <w:next w:val="Normal"/>
    <w:link w:val="Heading3Char"/>
    <w:autoRedefine/>
    <w:uiPriority w:val="9"/>
    <w:unhideWhenUsed/>
    <w:qFormat/>
    <w:rsid w:val="0075412A"/>
    <w:pPr>
      <w:numPr>
        <w:numId w:val="60"/>
      </w:numPr>
      <w:spacing w:after="240" w:line="240" w:lineRule="auto"/>
      <w:ind w:left="360"/>
      <w:outlineLvl w:val="2"/>
    </w:pPr>
    <w:rPr>
      <w:rFonts w:eastAsiaTheme="majorEastAsia" w:cstheme="majorBidi"/>
      <w:b/>
      <w:bCs/>
      <w:color w:val="006E81" w:themeColor="text2"/>
      <w:szCs w:val="24"/>
      <w:lang w:eastAsia="en-CA"/>
    </w:rPr>
  </w:style>
  <w:style w:type="paragraph" w:styleId="Heading4">
    <w:name w:val="heading 4"/>
    <w:basedOn w:val="Normal"/>
    <w:next w:val="Normal"/>
    <w:link w:val="Heading4Char"/>
    <w:uiPriority w:val="9"/>
    <w:unhideWhenUsed/>
    <w:qFormat/>
    <w:rsid w:val="00916836"/>
    <w:pPr>
      <w:keepNext/>
      <w:keepLines/>
      <w:numPr>
        <w:ilvl w:val="3"/>
        <w:numId w:val="6"/>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C68E1"/>
    <w:pPr>
      <w:keepNext/>
      <w:keepLines/>
      <w:numPr>
        <w:ilvl w:val="4"/>
        <w:numId w:val="6"/>
      </w:numPr>
      <w:spacing w:before="200" w:after="0"/>
      <w:outlineLvl w:val="4"/>
    </w:pPr>
    <w:rPr>
      <w:rFonts w:asciiTheme="majorHAnsi" w:eastAsiaTheme="majorEastAsia" w:hAnsiTheme="majorHAnsi" w:cstheme="majorBidi"/>
      <w:color w:val="005160" w:themeColor="text2" w:themeShade="BF"/>
    </w:rPr>
  </w:style>
  <w:style w:type="paragraph" w:styleId="Heading6">
    <w:name w:val="heading 6"/>
    <w:basedOn w:val="Normal"/>
    <w:next w:val="Normal"/>
    <w:link w:val="Heading6Char"/>
    <w:uiPriority w:val="9"/>
    <w:unhideWhenUsed/>
    <w:qFormat/>
    <w:rsid w:val="007C68E1"/>
    <w:pPr>
      <w:keepNext/>
      <w:keepLines/>
      <w:numPr>
        <w:ilvl w:val="5"/>
        <w:numId w:val="6"/>
      </w:numPr>
      <w:spacing w:before="200" w:after="0"/>
      <w:outlineLvl w:val="5"/>
    </w:pPr>
    <w:rPr>
      <w:rFonts w:asciiTheme="majorHAnsi" w:eastAsiaTheme="majorEastAsia" w:hAnsiTheme="majorHAnsi" w:cstheme="majorBidi"/>
      <w:i/>
      <w:iCs/>
      <w:color w:val="005160" w:themeColor="text2" w:themeShade="BF"/>
    </w:rPr>
  </w:style>
  <w:style w:type="paragraph" w:styleId="Heading7">
    <w:name w:val="heading 7"/>
    <w:basedOn w:val="Normal"/>
    <w:next w:val="Normal"/>
    <w:link w:val="Heading7Char"/>
    <w:uiPriority w:val="9"/>
    <w:unhideWhenUsed/>
    <w:qFormat/>
    <w:rsid w:val="007C68E1"/>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C68E1"/>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68E1"/>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ACE"/>
    <w:rPr>
      <w:rFonts w:eastAsiaTheme="majorEastAsia" w:cstheme="majorBidi"/>
      <w:b/>
      <w:bCs/>
      <w:color w:val="005160" w:themeColor="text2" w:themeShade="BF"/>
      <w:sz w:val="36"/>
      <w:szCs w:val="20"/>
      <w:lang w:eastAsia="en-CA"/>
    </w:rPr>
  </w:style>
  <w:style w:type="character" w:customStyle="1" w:styleId="Heading2Char">
    <w:name w:val="Heading 2 Char"/>
    <w:basedOn w:val="DefaultParagraphFont"/>
    <w:link w:val="Heading2"/>
    <w:uiPriority w:val="9"/>
    <w:rsid w:val="006F3345"/>
    <w:rPr>
      <w:rFonts w:eastAsiaTheme="majorEastAsia" w:cstheme="majorBidi"/>
      <w:b/>
      <w:bCs/>
      <w:smallCaps/>
      <w:color w:val="006E81" w:themeColor="text2"/>
      <w:sz w:val="28"/>
      <w:szCs w:val="28"/>
    </w:rPr>
  </w:style>
  <w:style w:type="paragraph" w:styleId="ListBullet">
    <w:name w:val="List Bullet"/>
    <w:basedOn w:val="Normal"/>
    <w:uiPriority w:val="99"/>
    <w:unhideWhenUsed/>
    <w:rsid w:val="00332140"/>
    <w:pPr>
      <w:numPr>
        <w:numId w:val="3"/>
      </w:numPr>
      <w:contextualSpacing/>
    </w:pPr>
  </w:style>
  <w:style w:type="paragraph" w:styleId="ListBullet2">
    <w:name w:val="List Bullet 2"/>
    <w:basedOn w:val="Normal"/>
    <w:autoRedefine/>
    <w:rsid w:val="00D206CE"/>
    <w:pPr>
      <w:numPr>
        <w:numId w:val="2"/>
      </w:numPr>
      <w:spacing w:before="120" w:after="240"/>
      <w:contextualSpacing/>
    </w:pPr>
    <w:rPr>
      <w:rFonts w:eastAsia="Times New Roman" w:cs="Arial"/>
      <w:color w:val="000000"/>
      <w:szCs w:val="24"/>
      <w:lang w:val="en-US" w:eastAsia="en-CA"/>
    </w:rPr>
  </w:style>
  <w:style w:type="paragraph" w:styleId="ListBullet3">
    <w:name w:val="List Bullet 3"/>
    <w:basedOn w:val="Normal"/>
    <w:autoRedefine/>
    <w:uiPriority w:val="99"/>
    <w:unhideWhenUsed/>
    <w:rsid w:val="00ED290A"/>
    <w:pPr>
      <w:framePr w:hSpace="180" w:wrap="around" w:vAnchor="text" w:hAnchor="margin" w:y="232"/>
      <w:numPr>
        <w:numId w:val="7"/>
      </w:numPr>
      <w:spacing w:after="120" w:line="240" w:lineRule="auto"/>
    </w:pPr>
    <w:rPr>
      <w:rFonts w:eastAsia="Times New Roman" w:cs="Arial"/>
      <w:color w:val="000000"/>
      <w:szCs w:val="24"/>
      <w:lang w:val="en-US" w:eastAsia="en-CA"/>
    </w:rPr>
  </w:style>
  <w:style w:type="paragraph" w:customStyle="1" w:styleId="ListBullet1">
    <w:name w:val="List Bullet 1"/>
    <w:basedOn w:val="ListParagraph"/>
    <w:autoRedefine/>
    <w:rsid w:val="00D11D26"/>
    <w:pPr>
      <w:numPr>
        <w:ilvl w:val="1"/>
        <w:numId w:val="1"/>
      </w:numPr>
    </w:pPr>
  </w:style>
  <w:style w:type="paragraph" w:styleId="ListParagraph">
    <w:name w:val="List Paragraph"/>
    <w:aliases w:val="Lettre d'introduction,List Paragraph1,Indented Paragraph,Bullet List 1,Unordered List Level 1,Heading 4 test,MOU List Number i,kern at 14 pt,Bullet list,Subhead Paragraph,Contents Page,Bullet,Indented Paragra,table bullets,Recommendation"/>
    <w:basedOn w:val="Normal"/>
    <w:link w:val="ListParagraphChar"/>
    <w:uiPriority w:val="34"/>
    <w:qFormat/>
    <w:rsid w:val="00355099"/>
    <w:pPr>
      <w:ind w:left="720"/>
      <w:contextualSpacing/>
    </w:pPr>
  </w:style>
  <w:style w:type="character" w:customStyle="1" w:styleId="Heading3Char">
    <w:name w:val="Heading 3 Char"/>
    <w:basedOn w:val="DefaultParagraphFont"/>
    <w:link w:val="Heading3"/>
    <w:uiPriority w:val="9"/>
    <w:rsid w:val="0075412A"/>
    <w:rPr>
      <w:rFonts w:eastAsiaTheme="majorEastAsia" w:cstheme="majorBidi"/>
      <w:b/>
      <w:bCs/>
      <w:color w:val="006E81" w:themeColor="text2"/>
      <w:szCs w:val="24"/>
      <w:lang w:eastAsia="en-CA"/>
    </w:rPr>
  </w:style>
  <w:style w:type="character" w:customStyle="1" w:styleId="Heading4Char">
    <w:name w:val="Heading 4 Char"/>
    <w:basedOn w:val="DefaultParagraphFont"/>
    <w:link w:val="Heading4"/>
    <w:uiPriority w:val="9"/>
    <w:rsid w:val="007C68E1"/>
    <w:rPr>
      <w:rFonts w:asciiTheme="majorHAnsi" w:eastAsiaTheme="majorEastAsia" w:hAnsiTheme="majorHAnsi" w:cstheme="majorBidi"/>
      <w:b/>
      <w:bCs/>
      <w:i/>
      <w:iCs/>
    </w:rPr>
  </w:style>
  <w:style w:type="paragraph" w:styleId="Title">
    <w:name w:val="Title"/>
    <w:basedOn w:val="Normal"/>
    <w:next w:val="Normal"/>
    <w:link w:val="TitleChar"/>
    <w:qFormat/>
    <w:rsid w:val="002B431E"/>
    <w:pPr>
      <w:spacing w:after="0" w:line="240" w:lineRule="auto"/>
      <w:contextualSpacing/>
    </w:pPr>
    <w:rPr>
      <w:rFonts w:asciiTheme="majorHAnsi" w:eastAsiaTheme="majorEastAsia" w:hAnsiTheme="majorHAnsi" w:cstheme="majorBidi"/>
      <w:color w:val="003740" w:themeColor="text2" w:themeShade="80"/>
      <w:sz w:val="72"/>
      <w:szCs w:val="56"/>
    </w:rPr>
  </w:style>
  <w:style w:type="character" w:customStyle="1" w:styleId="TitleChar">
    <w:name w:val="Title Char"/>
    <w:basedOn w:val="DefaultParagraphFont"/>
    <w:link w:val="Title"/>
    <w:rsid w:val="002B431E"/>
    <w:rPr>
      <w:rFonts w:asciiTheme="majorHAnsi" w:eastAsiaTheme="majorEastAsia" w:hAnsiTheme="majorHAnsi" w:cstheme="majorBidi"/>
      <w:color w:val="003740" w:themeColor="text2" w:themeShade="80"/>
      <w:sz w:val="72"/>
      <w:szCs w:val="56"/>
    </w:rPr>
  </w:style>
  <w:style w:type="paragraph" w:styleId="Subtitle">
    <w:name w:val="Subtitle"/>
    <w:basedOn w:val="Normal"/>
    <w:next w:val="Normal"/>
    <w:link w:val="SubtitleChar"/>
    <w:uiPriority w:val="11"/>
    <w:qFormat/>
    <w:rsid w:val="007C68E1"/>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7C68E1"/>
    <w:rPr>
      <w:color w:val="5A5A5A" w:themeColor="text1" w:themeTint="A5"/>
      <w:spacing w:val="10"/>
    </w:rPr>
  </w:style>
  <w:style w:type="paragraph" w:customStyle="1" w:styleId="Text">
    <w:name w:val="Text"/>
    <w:basedOn w:val="Normal"/>
    <w:link w:val="TextChar"/>
    <w:rsid w:val="00D53DAC"/>
  </w:style>
  <w:style w:type="paragraph" w:styleId="Header">
    <w:name w:val="header"/>
    <w:basedOn w:val="Normal"/>
    <w:link w:val="HeaderChar"/>
    <w:uiPriority w:val="99"/>
    <w:unhideWhenUsed/>
    <w:rsid w:val="0034216B"/>
    <w:pPr>
      <w:tabs>
        <w:tab w:val="center" w:pos="4680"/>
        <w:tab w:val="right" w:pos="9360"/>
      </w:tabs>
      <w:ind w:hanging="5"/>
    </w:pPr>
    <w:rPr>
      <w:rFonts w:eastAsia="Times New Roman" w:cs="Arial"/>
      <w:color w:val="000000"/>
      <w:szCs w:val="24"/>
      <w:lang w:val="en-US" w:eastAsia="en-CA"/>
    </w:rPr>
  </w:style>
  <w:style w:type="character" w:customStyle="1" w:styleId="HeaderChar">
    <w:name w:val="Header Char"/>
    <w:basedOn w:val="DefaultParagraphFont"/>
    <w:link w:val="Header"/>
    <w:uiPriority w:val="99"/>
    <w:rsid w:val="0034216B"/>
    <w:rPr>
      <w:rFonts w:ascii="Arial" w:hAnsi="Arial" w:cs="Arial"/>
      <w:color w:val="000000"/>
      <w:sz w:val="24"/>
      <w:szCs w:val="24"/>
      <w:lang w:val="en-US" w:eastAsia="en-CA"/>
    </w:rPr>
  </w:style>
  <w:style w:type="paragraph" w:styleId="Footer">
    <w:name w:val="footer"/>
    <w:basedOn w:val="Normal"/>
    <w:link w:val="FooterChar"/>
    <w:uiPriority w:val="99"/>
    <w:unhideWhenUsed/>
    <w:rsid w:val="0034216B"/>
    <w:pPr>
      <w:tabs>
        <w:tab w:val="center" w:pos="4680"/>
        <w:tab w:val="right" w:pos="9360"/>
      </w:tabs>
      <w:ind w:hanging="5"/>
    </w:pPr>
    <w:rPr>
      <w:rFonts w:eastAsia="Times New Roman" w:cs="Arial"/>
      <w:color w:val="000000"/>
      <w:szCs w:val="24"/>
      <w:lang w:val="en-US" w:eastAsia="en-CA"/>
    </w:rPr>
  </w:style>
  <w:style w:type="character" w:customStyle="1" w:styleId="FooterChar">
    <w:name w:val="Footer Char"/>
    <w:basedOn w:val="DefaultParagraphFont"/>
    <w:link w:val="Footer"/>
    <w:uiPriority w:val="99"/>
    <w:rsid w:val="0034216B"/>
    <w:rPr>
      <w:rFonts w:ascii="Arial" w:hAnsi="Arial" w:cs="Arial"/>
      <w:color w:val="000000"/>
      <w:sz w:val="24"/>
      <w:szCs w:val="24"/>
      <w:lang w:val="en-US" w:eastAsia="en-CA"/>
    </w:rPr>
  </w:style>
  <w:style w:type="paragraph" w:styleId="BalloonText">
    <w:name w:val="Balloon Text"/>
    <w:basedOn w:val="Normal"/>
    <w:link w:val="BalloonTextChar"/>
    <w:uiPriority w:val="99"/>
    <w:semiHidden/>
    <w:unhideWhenUsed/>
    <w:rsid w:val="0034216B"/>
    <w:pPr>
      <w:ind w:hanging="5"/>
    </w:pPr>
    <w:rPr>
      <w:rFonts w:ascii="Tahoma" w:eastAsia="Times New Roman" w:hAnsi="Tahoma" w:cs="Tahoma"/>
      <w:color w:val="000000"/>
      <w:sz w:val="16"/>
      <w:szCs w:val="16"/>
      <w:lang w:val="en-US" w:eastAsia="en-CA"/>
    </w:rPr>
  </w:style>
  <w:style w:type="character" w:customStyle="1" w:styleId="BalloonTextChar">
    <w:name w:val="Balloon Text Char"/>
    <w:basedOn w:val="DefaultParagraphFont"/>
    <w:link w:val="BalloonText"/>
    <w:uiPriority w:val="99"/>
    <w:semiHidden/>
    <w:rsid w:val="0034216B"/>
    <w:rPr>
      <w:rFonts w:ascii="Tahoma" w:hAnsi="Tahoma" w:cs="Tahoma"/>
      <w:color w:val="000000"/>
      <w:sz w:val="16"/>
      <w:szCs w:val="16"/>
      <w:lang w:val="en-US" w:eastAsia="en-CA"/>
    </w:rPr>
  </w:style>
  <w:style w:type="character" w:styleId="PlaceholderText">
    <w:name w:val="Placeholder Text"/>
    <w:basedOn w:val="DefaultParagraphFont"/>
    <w:uiPriority w:val="99"/>
    <w:semiHidden/>
    <w:rsid w:val="0034216B"/>
    <w:rPr>
      <w:color w:val="808080"/>
    </w:rPr>
  </w:style>
  <w:style w:type="table" w:styleId="TableGrid">
    <w:name w:val="Table Grid"/>
    <w:basedOn w:val="TableNormal"/>
    <w:uiPriority w:val="59"/>
    <w:rsid w:val="0034216B"/>
    <w:rPr>
      <w:rFonts w:eastAsiaTheme="minorHAns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vent-Bold">
    <w:name w:val="Event - Bold"/>
    <w:basedOn w:val="Event"/>
    <w:rsid w:val="0034216B"/>
    <w:rPr>
      <w:b/>
    </w:rPr>
  </w:style>
  <w:style w:type="paragraph" w:customStyle="1" w:styleId="DateTime">
    <w:name w:val="Date &amp; Time"/>
    <w:basedOn w:val="Normal"/>
    <w:rsid w:val="0034216B"/>
    <w:pPr>
      <w:spacing w:after="300"/>
      <w:contextualSpacing/>
    </w:pPr>
    <w:rPr>
      <w:rFonts w:eastAsiaTheme="minorHAnsi"/>
      <w:lang w:val="en-US"/>
    </w:rPr>
  </w:style>
  <w:style w:type="paragraph" w:customStyle="1" w:styleId="AgendaInformation">
    <w:name w:val="Agenda Information"/>
    <w:basedOn w:val="Normal"/>
    <w:rsid w:val="0034216B"/>
    <w:pPr>
      <w:spacing w:after="600" w:line="336" w:lineRule="auto"/>
      <w:contextualSpacing/>
    </w:pPr>
    <w:rPr>
      <w:rFonts w:eastAsiaTheme="minorHAnsi"/>
      <w:lang w:val="en-US"/>
    </w:rPr>
  </w:style>
  <w:style w:type="paragraph" w:customStyle="1" w:styleId="Event">
    <w:name w:val="Event"/>
    <w:basedOn w:val="Normal"/>
    <w:rsid w:val="0034216B"/>
    <w:pPr>
      <w:spacing w:after="80"/>
    </w:pPr>
    <w:rPr>
      <w:rFonts w:eastAsiaTheme="minorHAnsi"/>
      <w:lang w:val="en-US"/>
    </w:rPr>
  </w:style>
  <w:style w:type="paragraph" w:customStyle="1" w:styleId="AdditionalInformation">
    <w:name w:val="Additional Information"/>
    <w:basedOn w:val="AgendaInformation"/>
    <w:rsid w:val="0034216B"/>
    <w:pPr>
      <w:spacing w:after="120"/>
      <w:contextualSpacing w:val="0"/>
    </w:pPr>
  </w:style>
  <w:style w:type="paragraph" w:customStyle="1" w:styleId="BusinessStream">
    <w:name w:val="Business Stream"/>
    <w:basedOn w:val="Normal"/>
    <w:link w:val="BusinessStreamChar"/>
    <w:rsid w:val="004D0059"/>
    <w:pPr>
      <w:outlineLvl w:val="1"/>
    </w:pPr>
    <w:rPr>
      <w:rFonts w:eastAsiaTheme="minorHAnsi"/>
      <w:b/>
      <w:color w:val="006E81"/>
      <w:sz w:val="32"/>
      <w:lang w:val="en-US"/>
    </w:rPr>
  </w:style>
  <w:style w:type="paragraph" w:customStyle="1" w:styleId="BranchDivision">
    <w:name w:val="Branch/Division"/>
    <w:basedOn w:val="Normal"/>
    <w:link w:val="BranchDivisionChar"/>
    <w:rsid w:val="00A31166"/>
    <w:pPr>
      <w:spacing w:after="360"/>
    </w:pPr>
    <w:rPr>
      <w:color w:val="4C4C4E"/>
      <w:sz w:val="28"/>
      <w:szCs w:val="28"/>
    </w:rPr>
  </w:style>
  <w:style w:type="character" w:customStyle="1" w:styleId="BranchDivisionChar">
    <w:name w:val="Branch/Division Char"/>
    <w:basedOn w:val="DefaultParagraphFont"/>
    <w:link w:val="BranchDivision"/>
    <w:rsid w:val="00A31166"/>
    <w:rPr>
      <w:rFonts w:ascii="Arial" w:eastAsia="Calibri" w:hAnsi="Arial" w:cs="Times New Roman"/>
      <w:color w:val="4C4C4E"/>
      <w:sz w:val="28"/>
      <w:szCs w:val="28"/>
    </w:rPr>
  </w:style>
  <w:style w:type="character" w:styleId="IntenseReference">
    <w:name w:val="Intense Reference"/>
    <w:basedOn w:val="DefaultParagraphFont"/>
    <w:uiPriority w:val="32"/>
    <w:qFormat/>
    <w:rsid w:val="007C68E1"/>
    <w:rPr>
      <w:b/>
      <w:bCs/>
      <w:smallCaps/>
      <w:u w:val="single"/>
    </w:rPr>
  </w:style>
  <w:style w:type="character" w:styleId="SubtleReference">
    <w:name w:val="Subtle Reference"/>
    <w:basedOn w:val="DefaultParagraphFont"/>
    <w:uiPriority w:val="31"/>
    <w:qFormat/>
    <w:rsid w:val="007C68E1"/>
    <w:rPr>
      <w:smallCaps/>
      <w:color w:val="404040" w:themeColor="text1" w:themeTint="BF"/>
      <w:u w:val="single" w:color="7F7F7F" w:themeColor="text1" w:themeTint="80"/>
    </w:rPr>
  </w:style>
  <w:style w:type="character" w:customStyle="1" w:styleId="BusinessStreamChar">
    <w:name w:val="Business Stream Char"/>
    <w:link w:val="BusinessStream"/>
    <w:rsid w:val="004D0059"/>
    <w:rPr>
      <w:rFonts w:ascii="Arial" w:eastAsiaTheme="minorHAnsi" w:hAnsi="Arial"/>
      <w:b/>
      <w:color w:val="006E81"/>
      <w:sz w:val="32"/>
      <w:lang w:val="en-US"/>
    </w:rPr>
  </w:style>
  <w:style w:type="paragraph" w:customStyle="1" w:styleId="DivisionBranch">
    <w:name w:val="Division/Branch"/>
    <w:basedOn w:val="BusinessStream"/>
    <w:link w:val="DivisionBranchChar"/>
    <w:rsid w:val="00093024"/>
    <w:pPr>
      <w:spacing w:after="360"/>
      <w:outlineLvl w:val="9"/>
    </w:pPr>
    <w:rPr>
      <w:rFonts w:eastAsia="Calibri" w:cs="Times New Roman"/>
      <w:b w:val="0"/>
      <w:color w:val="000000" w:themeColor="text1"/>
      <w:sz w:val="28"/>
      <w:szCs w:val="28"/>
    </w:rPr>
  </w:style>
  <w:style w:type="character" w:customStyle="1" w:styleId="DivisionBranchChar">
    <w:name w:val="Division/Branch Char"/>
    <w:basedOn w:val="BusinessStreamChar"/>
    <w:link w:val="DivisionBranch"/>
    <w:rsid w:val="00093024"/>
    <w:rPr>
      <w:rFonts w:ascii="Arial" w:eastAsia="Calibri" w:hAnsi="Arial" w:cs="Times New Roman"/>
      <w:b w:val="0"/>
      <w:color w:val="000000" w:themeColor="text1"/>
      <w:sz w:val="28"/>
      <w:szCs w:val="28"/>
      <w:lang w:val="en-US"/>
    </w:rPr>
  </w:style>
  <w:style w:type="character" w:styleId="Emphasis">
    <w:name w:val="Emphasis"/>
    <w:basedOn w:val="DefaultParagraphFont"/>
    <w:uiPriority w:val="20"/>
    <w:qFormat/>
    <w:rsid w:val="007C68E1"/>
    <w:rPr>
      <w:i/>
      <w:iCs/>
      <w:color w:val="auto"/>
    </w:rPr>
  </w:style>
  <w:style w:type="character" w:customStyle="1" w:styleId="Heading5Char">
    <w:name w:val="Heading 5 Char"/>
    <w:basedOn w:val="DefaultParagraphFont"/>
    <w:link w:val="Heading5"/>
    <w:uiPriority w:val="9"/>
    <w:rsid w:val="007C68E1"/>
    <w:rPr>
      <w:rFonts w:asciiTheme="majorHAnsi" w:eastAsiaTheme="majorEastAsia" w:hAnsiTheme="majorHAnsi" w:cstheme="majorBidi"/>
      <w:color w:val="005160" w:themeColor="text2" w:themeShade="BF"/>
    </w:rPr>
  </w:style>
  <w:style w:type="paragraph" w:styleId="ListNumber">
    <w:name w:val="List Number"/>
    <w:basedOn w:val="ListBullet"/>
    <w:uiPriority w:val="99"/>
    <w:unhideWhenUsed/>
    <w:rsid w:val="00332140"/>
    <w:pPr>
      <w:numPr>
        <w:numId w:val="4"/>
      </w:numPr>
      <w:spacing w:before="120"/>
    </w:pPr>
  </w:style>
  <w:style w:type="character" w:customStyle="1" w:styleId="ListParagraphChar">
    <w:name w:val="List Paragraph Char"/>
    <w:aliases w:val="Lettre d'introduction Char,List Paragraph1 Char,Indented Paragraph Char,Bullet List 1 Char,Unordered List Level 1 Char,Heading 4 test Char,MOU List Number i Char,kern at 14 pt Char,Bullet list Char,Subhead Paragraph Char,Bullet Char"/>
    <w:basedOn w:val="DefaultParagraphFont"/>
    <w:link w:val="ListParagraph"/>
    <w:uiPriority w:val="34"/>
    <w:qFormat/>
    <w:rsid w:val="00355099"/>
  </w:style>
  <w:style w:type="character" w:styleId="Strong">
    <w:name w:val="Strong"/>
    <w:basedOn w:val="DefaultParagraphFont"/>
    <w:uiPriority w:val="22"/>
    <w:qFormat/>
    <w:rsid w:val="007C68E1"/>
    <w:rPr>
      <w:b/>
      <w:bCs/>
      <w:color w:val="000000" w:themeColor="text1"/>
    </w:rPr>
  </w:style>
  <w:style w:type="character" w:styleId="SubtleEmphasis">
    <w:name w:val="Subtle Emphasis"/>
    <w:basedOn w:val="DefaultParagraphFont"/>
    <w:uiPriority w:val="19"/>
    <w:qFormat/>
    <w:rsid w:val="007C68E1"/>
    <w:rPr>
      <w:i/>
      <w:iCs/>
      <w:color w:val="404040" w:themeColor="text1" w:themeTint="BF"/>
    </w:rPr>
  </w:style>
  <w:style w:type="character" w:customStyle="1" w:styleId="TextChar">
    <w:name w:val="Text Char"/>
    <w:link w:val="Text"/>
    <w:rsid w:val="00D53DAC"/>
    <w:rPr>
      <w:rFonts w:ascii="Arial" w:eastAsia="Calibri" w:hAnsi="Arial" w:cs="Times New Roman"/>
      <w:sz w:val="24"/>
    </w:rPr>
  </w:style>
  <w:style w:type="paragraph" w:styleId="DocumentMap">
    <w:name w:val="Document Map"/>
    <w:basedOn w:val="Normal"/>
    <w:link w:val="DocumentMapChar"/>
    <w:uiPriority w:val="99"/>
    <w:semiHidden/>
    <w:unhideWhenUsed/>
    <w:rsid w:val="007C21E5"/>
    <w:rPr>
      <w:rFonts w:ascii="Lucida Grande" w:hAnsi="Lucida Grande"/>
      <w:szCs w:val="24"/>
    </w:rPr>
  </w:style>
  <w:style w:type="character" w:customStyle="1" w:styleId="DocumentMapChar">
    <w:name w:val="Document Map Char"/>
    <w:basedOn w:val="DefaultParagraphFont"/>
    <w:link w:val="DocumentMap"/>
    <w:uiPriority w:val="99"/>
    <w:semiHidden/>
    <w:rsid w:val="007C21E5"/>
    <w:rPr>
      <w:rFonts w:ascii="Lucida Grande" w:eastAsia="Calibri" w:hAnsi="Lucida Grande" w:cs="Times New Roman"/>
      <w:color w:val="000000" w:themeColor="text1"/>
      <w:sz w:val="24"/>
      <w:szCs w:val="24"/>
    </w:rPr>
  </w:style>
  <w:style w:type="paragraph" w:customStyle="1" w:styleId="OPSNormal">
    <w:name w:val="OPS Normal"/>
    <w:link w:val="OPSNormalChar"/>
    <w:autoRedefine/>
    <w:rsid w:val="00CE2C88"/>
    <w:pPr>
      <w:widowControl w:val="0"/>
      <w:jc w:val="both"/>
    </w:pPr>
    <w:rPr>
      <w:rFonts w:cs="Times New Roman"/>
      <w:szCs w:val="20"/>
    </w:rPr>
  </w:style>
  <w:style w:type="character" w:customStyle="1" w:styleId="OPSNormalChar">
    <w:name w:val="OPS Normal Char"/>
    <w:link w:val="OPSNormal"/>
    <w:locked/>
    <w:rsid w:val="00CE2C88"/>
    <w:rPr>
      <w:rFonts w:cs="Times New Roman"/>
      <w:sz w:val="24"/>
      <w:szCs w:val="20"/>
    </w:rPr>
  </w:style>
  <w:style w:type="paragraph" w:styleId="TOC1">
    <w:name w:val="toc 1"/>
    <w:basedOn w:val="Normal"/>
    <w:next w:val="Normal"/>
    <w:autoRedefine/>
    <w:uiPriority w:val="39"/>
    <w:unhideWhenUsed/>
    <w:rsid w:val="002713A6"/>
    <w:pPr>
      <w:tabs>
        <w:tab w:val="left" w:pos="480"/>
        <w:tab w:val="left" w:pos="880"/>
        <w:tab w:val="right" w:leader="dot" w:pos="10070"/>
      </w:tabs>
      <w:spacing w:after="100"/>
    </w:pPr>
  </w:style>
  <w:style w:type="paragraph" w:styleId="TOC2">
    <w:name w:val="toc 2"/>
    <w:basedOn w:val="Normal"/>
    <w:next w:val="Normal"/>
    <w:autoRedefine/>
    <w:uiPriority w:val="39"/>
    <w:unhideWhenUsed/>
    <w:rsid w:val="00182E94"/>
    <w:pPr>
      <w:tabs>
        <w:tab w:val="left" w:pos="880"/>
        <w:tab w:val="right" w:leader="dot" w:pos="10070"/>
      </w:tabs>
      <w:spacing w:after="100"/>
      <w:ind w:left="240"/>
    </w:pPr>
  </w:style>
  <w:style w:type="paragraph" w:styleId="TOC3">
    <w:name w:val="toc 3"/>
    <w:basedOn w:val="Normal"/>
    <w:next w:val="Normal"/>
    <w:autoRedefine/>
    <w:uiPriority w:val="39"/>
    <w:unhideWhenUsed/>
    <w:rsid w:val="001E0255"/>
    <w:pPr>
      <w:tabs>
        <w:tab w:val="left" w:pos="1320"/>
        <w:tab w:val="right" w:leader="dot" w:pos="10070"/>
      </w:tabs>
      <w:spacing w:after="100"/>
      <w:ind w:left="480"/>
    </w:pPr>
  </w:style>
  <w:style w:type="character" w:styleId="Hyperlink">
    <w:name w:val="Hyperlink"/>
    <w:basedOn w:val="DefaultParagraphFont"/>
    <w:uiPriority w:val="99"/>
    <w:unhideWhenUsed/>
    <w:rsid w:val="008B6EE2"/>
    <w:rPr>
      <w:color w:val="006E81" w:themeColor="hyperlink"/>
      <w:u w:val="single"/>
    </w:rPr>
  </w:style>
  <w:style w:type="paragraph" w:styleId="NoSpacing">
    <w:name w:val="No Spacing"/>
    <w:link w:val="NoSpacingChar"/>
    <w:uiPriority w:val="1"/>
    <w:qFormat/>
    <w:rsid w:val="007C68E1"/>
    <w:pPr>
      <w:spacing w:after="0" w:line="240" w:lineRule="auto"/>
    </w:pPr>
  </w:style>
  <w:style w:type="character" w:customStyle="1" w:styleId="NoSpacingChar">
    <w:name w:val="No Spacing Char"/>
    <w:basedOn w:val="DefaultParagraphFont"/>
    <w:link w:val="NoSpacing"/>
    <w:uiPriority w:val="1"/>
    <w:rsid w:val="00C67CDA"/>
  </w:style>
  <w:style w:type="character" w:styleId="CommentReference">
    <w:name w:val="annotation reference"/>
    <w:basedOn w:val="DefaultParagraphFont"/>
    <w:uiPriority w:val="99"/>
    <w:semiHidden/>
    <w:unhideWhenUsed/>
    <w:rsid w:val="00FD22FA"/>
    <w:rPr>
      <w:sz w:val="16"/>
      <w:szCs w:val="16"/>
    </w:rPr>
  </w:style>
  <w:style w:type="paragraph" w:styleId="CommentText">
    <w:name w:val="annotation text"/>
    <w:basedOn w:val="Normal"/>
    <w:link w:val="CommentTextChar"/>
    <w:uiPriority w:val="99"/>
    <w:unhideWhenUsed/>
    <w:rsid w:val="00FD22FA"/>
    <w:rPr>
      <w:sz w:val="20"/>
      <w:szCs w:val="20"/>
    </w:rPr>
  </w:style>
  <w:style w:type="character" w:customStyle="1" w:styleId="CommentTextChar">
    <w:name w:val="Comment Text Char"/>
    <w:basedOn w:val="DefaultParagraphFont"/>
    <w:link w:val="CommentText"/>
    <w:uiPriority w:val="99"/>
    <w:rsid w:val="00FD22FA"/>
    <w:rPr>
      <w:rFonts w:ascii="Arial" w:eastAsia="Calibri" w:hAnsi="Arial" w:cs="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D22FA"/>
    <w:rPr>
      <w:b/>
      <w:bCs/>
    </w:rPr>
  </w:style>
  <w:style w:type="character" w:customStyle="1" w:styleId="CommentSubjectChar">
    <w:name w:val="Comment Subject Char"/>
    <w:basedOn w:val="CommentTextChar"/>
    <w:link w:val="CommentSubject"/>
    <w:uiPriority w:val="99"/>
    <w:semiHidden/>
    <w:rsid w:val="00FD22FA"/>
    <w:rPr>
      <w:rFonts w:ascii="Arial" w:eastAsia="Calibri" w:hAnsi="Arial" w:cs="Times New Roman"/>
      <w:b/>
      <w:bCs/>
      <w:color w:val="000000" w:themeColor="text1"/>
      <w:sz w:val="20"/>
      <w:szCs w:val="20"/>
    </w:rPr>
  </w:style>
  <w:style w:type="paragraph" w:styleId="Revision">
    <w:name w:val="Revision"/>
    <w:hidden/>
    <w:uiPriority w:val="99"/>
    <w:semiHidden/>
    <w:rsid w:val="00FD22FA"/>
    <w:rPr>
      <w:rFonts w:ascii="Arial" w:eastAsia="Calibri" w:hAnsi="Arial" w:cs="Times New Roman"/>
      <w:color w:val="000000" w:themeColor="text1"/>
    </w:rPr>
  </w:style>
  <w:style w:type="character" w:styleId="UnresolvedMention">
    <w:name w:val="Unresolved Mention"/>
    <w:basedOn w:val="DefaultParagraphFont"/>
    <w:uiPriority w:val="99"/>
    <w:unhideWhenUsed/>
    <w:rsid w:val="001B22A8"/>
    <w:rPr>
      <w:color w:val="605E5C"/>
      <w:shd w:val="clear" w:color="auto" w:fill="E1DFDD"/>
    </w:rPr>
  </w:style>
  <w:style w:type="character" w:styleId="FollowedHyperlink">
    <w:name w:val="FollowedHyperlink"/>
    <w:basedOn w:val="DefaultParagraphFont"/>
    <w:uiPriority w:val="99"/>
    <w:semiHidden/>
    <w:unhideWhenUsed/>
    <w:rsid w:val="000A3668"/>
    <w:rPr>
      <w:color w:val="4D3F5A" w:themeColor="followedHyperlink"/>
      <w:u w:val="single"/>
    </w:rPr>
  </w:style>
  <w:style w:type="paragraph" w:styleId="BodyTextIndent">
    <w:name w:val="Body Text Indent"/>
    <w:basedOn w:val="Normal"/>
    <w:link w:val="BodyTextIndentChar"/>
    <w:uiPriority w:val="99"/>
    <w:unhideWhenUsed/>
    <w:rsid w:val="00B6161A"/>
    <w:pPr>
      <w:ind w:left="283"/>
    </w:pPr>
  </w:style>
  <w:style w:type="character" w:customStyle="1" w:styleId="BodyTextIndentChar">
    <w:name w:val="Body Text Indent Char"/>
    <w:basedOn w:val="DefaultParagraphFont"/>
    <w:link w:val="BodyTextIndent"/>
    <w:uiPriority w:val="99"/>
    <w:rsid w:val="00B6161A"/>
    <w:rPr>
      <w:rFonts w:ascii="Arial" w:eastAsia="Calibri" w:hAnsi="Arial" w:cs="Times New Roman"/>
      <w:color w:val="000000" w:themeColor="text1"/>
      <w:sz w:val="24"/>
    </w:rPr>
  </w:style>
  <w:style w:type="paragraph" w:customStyle="1" w:styleId="first-para">
    <w:name w:val="first-para"/>
    <w:basedOn w:val="Normal"/>
    <w:rsid w:val="00542AE4"/>
    <w:pPr>
      <w:spacing w:after="150"/>
    </w:pPr>
    <w:rPr>
      <w:rFonts w:ascii="Times New Roman" w:eastAsia="Times New Roman" w:hAnsi="Times New Roman"/>
      <w:szCs w:val="24"/>
      <w:lang w:eastAsia="en-CA"/>
    </w:rPr>
  </w:style>
  <w:style w:type="paragraph" w:customStyle="1" w:styleId="Default">
    <w:name w:val="Default"/>
    <w:rsid w:val="00C56CA6"/>
    <w:pPr>
      <w:autoSpaceDE w:val="0"/>
      <w:autoSpaceDN w:val="0"/>
      <w:adjustRightInd w:val="0"/>
    </w:pPr>
    <w:rPr>
      <w:rFonts w:ascii="Arial" w:hAnsi="Arial" w:cs="Arial"/>
      <w:color w:val="000000"/>
      <w:szCs w:val="24"/>
    </w:rPr>
  </w:style>
  <w:style w:type="character" w:customStyle="1" w:styleId="Heading6Char">
    <w:name w:val="Heading 6 Char"/>
    <w:basedOn w:val="DefaultParagraphFont"/>
    <w:link w:val="Heading6"/>
    <w:uiPriority w:val="9"/>
    <w:rsid w:val="007C68E1"/>
    <w:rPr>
      <w:rFonts w:asciiTheme="majorHAnsi" w:eastAsiaTheme="majorEastAsia" w:hAnsiTheme="majorHAnsi" w:cstheme="majorBidi"/>
      <w:i/>
      <w:iCs/>
      <w:color w:val="005160" w:themeColor="text2" w:themeShade="BF"/>
    </w:rPr>
  </w:style>
  <w:style w:type="character" w:customStyle="1" w:styleId="Heading7Char">
    <w:name w:val="Heading 7 Char"/>
    <w:basedOn w:val="DefaultParagraphFont"/>
    <w:link w:val="Heading7"/>
    <w:uiPriority w:val="9"/>
    <w:rsid w:val="007C68E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C68E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C68E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C68E1"/>
    <w:pPr>
      <w:spacing w:after="200" w:line="240" w:lineRule="auto"/>
    </w:pPr>
    <w:rPr>
      <w:i/>
      <w:iCs/>
      <w:color w:val="006E81" w:themeColor="text2"/>
      <w:sz w:val="18"/>
      <w:szCs w:val="18"/>
    </w:rPr>
  </w:style>
  <w:style w:type="paragraph" w:styleId="Quote">
    <w:name w:val="Quote"/>
    <w:basedOn w:val="Normal"/>
    <w:next w:val="Normal"/>
    <w:link w:val="QuoteChar"/>
    <w:uiPriority w:val="29"/>
    <w:qFormat/>
    <w:rsid w:val="007C68E1"/>
    <w:pPr>
      <w:spacing w:before="160"/>
      <w:ind w:left="720" w:right="720"/>
    </w:pPr>
    <w:rPr>
      <w:i/>
      <w:iCs/>
    </w:rPr>
  </w:style>
  <w:style w:type="character" w:customStyle="1" w:styleId="QuoteChar">
    <w:name w:val="Quote Char"/>
    <w:basedOn w:val="DefaultParagraphFont"/>
    <w:link w:val="Quote"/>
    <w:uiPriority w:val="29"/>
    <w:rsid w:val="007C68E1"/>
    <w:rPr>
      <w:i/>
      <w:iCs/>
      <w:color w:val="000000" w:themeColor="text1"/>
    </w:rPr>
  </w:style>
  <w:style w:type="paragraph" w:styleId="IntenseQuote">
    <w:name w:val="Intense Quote"/>
    <w:basedOn w:val="Normal"/>
    <w:next w:val="Normal"/>
    <w:link w:val="IntenseQuoteChar"/>
    <w:uiPriority w:val="30"/>
    <w:qFormat/>
    <w:rsid w:val="007C68E1"/>
    <w:pPr>
      <w:pBdr>
        <w:top w:val="single" w:sz="24" w:space="1" w:color="F2F2F2" w:themeColor="background1" w:themeShade="F2"/>
        <w:bottom w:val="single" w:sz="24" w:space="1" w:color="F2F2F2" w:themeColor="background1" w:themeShade="F2"/>
      </w:pBdr>
      <w:shd w:val="clear" w:color="auto" w:fill="F2F2F2" w:themeFill="background1" w:themeFillShade="F2"/>
      <w:spacing w:after="240"/>
      <w:ind w:left="936" w:right="936"/>
      <w:jc w:val="center"/>
    </w:pPr>
  </w:style>
  <w:style w:type="character" w:customStyle="1" w:styleId="IntenseQuoteChar">
    <w:name w:val="Intense Quote Char"/>
    <w:basedOn w:val="DefaultParagraphFont"/>
    <w:link w:val="IntenseQuote"/>
    <w:uiPriority w:val="30"/>
    <w:rsid w:val="007C68E1"/>
    <w:rPr>
      <w:color w:val="000000" w:themeColor="text1"/>
      <w:shd w:val="clear" w:color="auto" w:fill="F2F2F2" w:themeFill="background1" w:themeFillShade="F2"/>
    </w:rPr>
  </w:style>
  <w:style w:type="character" w:styleId="IntenseEmphasis">
    <w:name w:val="Intense Emphasis"/>
    <w:basedOn w:val="DefaultParagraphFont"/>
    <w:uiPriority w:val="21"/>
    <w:qFormat/>
    <w:rsid w:val="007C68E1"/>
    <w:rPr>
      <w:b/>
      <w:bCs/>
      <w:i/>
      <w:iCs/>
      <w:caps/>
    </w:rPr>
  </w:style>
  <w:style w:type="character" w:styleId="BookTitle">
    <w:name w:val="Book Title"/>
    <w:basedOn w:val="DefaultParagraphFont"/>
    <w:uiPriority w:val="33"/>
    <w:qFormat/>
    <w:rsid w:val="007C68E1"/>
    <w:rPr>
      <w:b w:val="0"/>
      <w:bCs w:val="0"/>
      <w:smallCaps/>
      <w:spacing w:val="5"/>
    </w:rPr>
  </w:style>
  <w:style w:type="paragraph" w:styleId="TOCHeading">
    <w:name w:val="TOC Heading"/>
    <w:basedOn w:val="Heading1"/>
    <w:next w:val="Normal"/>
    <w:uiPriority w:val="39"/>
    <w:unhideWhenUsed/>
    <w:qFormat/>
    <w:rsid w:val="007C68E1"/>
    <w:pPr>
      <w:framePr w:wrap="around" w:hAnchor="text"/>
      <w:outlineLvl w:val="9"/>
    </w:pPr>
  </w:style>
  <w:style w:type="table" w:customStyle="1" w:styleId="TableGrid1">
    <w:name w:val="Table Grid1"/>
    <w:basedOn w:val="TableNormal"/>
    <w:next w:val="TableGrid"/>
    <w:uiPriority w:val="59"/>
    <w:rsid w:val="00CE1BBF"/>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906EE"/>
    <w:pPr>
      <w:spacing w:before="100" w:beforeAutospacing="1" w:after="100" w:afterAutospacing="1" w:line="240" w:lineRule="auto"/>
    </w:pPr>
    <w:rPr>
      <w:rFonts w:ascii="Times New Roman" w:eastAsia="Times New Roman" w:hAnsi="Times New Roman" w:cs="Times New Roman"/>
      <w:szCs w:val="24"/>
      <w:lang w:eastAsia="en-CA"/>
    </w:rPr>
  </w:style>
  <w:style w:type="paragraph" w:customStyle="1" w:styleId="SummaryText">
    <w:name w:val="SummaryText"/>
    <w:basedOn w:val="Normal"/>
    <w:uiPriority w:val="4"/>
    <w:qFormat/>
    <w:rsid w:val="00F906EE"/>
    <w:pPr>
      <w:numPr>
        <w:numId w:val="5"/>
      </w:numPr>
      <w:spacing w:after="240" w:line="240" w:lineRule="auto"/>
      <w:jc w:val="both"/>
    </w:pPr>
    <w:rPr>
      <w:rFonts w:ascii="Verdana" w:eastAsia="Calibri" w:hAnsi="Verdana" w:cs="Times New Roman"/>
      <w:sz w:val="18"/>
      <w:lang w:val="en-GB"/>
    </w:rPr>
  </w:style>
  <w:style w:type="character" w:customStyle="1" w:styleId="normaltextrun">
    <w:name w:val="normaltextrun"/>
    <w:basedOn w:val="DefaultParagraphFont"/>
    <w:rsid w:val="006718AA"/>
  </w:style>
  <w:style w:type="table" w:styleId="GridTable5Dark-Accent5">
    <w:name w:val="Grid Table 5 Dark Accent 5"/>
    <w:basedOn w:val="TableNormal"/>
    <w:uiPriority w:val="50"/>
    <w:rsid w:val="00C1597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8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DDC9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DDC9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DDC9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DDC91" w:themeFill="accent5"/>
      </w:tcPr>
    </w:tblStylePr>
    <w:tblStylePr w:type="band1Vert">
      <w:tblPr/>
      <w:tcPr>
        <w:shd w:val="clear" w:color="auto" w:fill="DEF1D3" w:themeFill="accent5" w:themeFillTint="66"/>
      </w:tcPr>
    </w:tblStylePr>
    <w:tblStylePr w:type="band1Horz">
      <w:tblPr/>
      <w:tcPr>
        <w:shd w:val="clear" w:color="auto" w:fill="DEF1D3" w:themeFill="accent5" w:themeFillTint="66"/>
      </w:tcPr>
    </w:tblStylePr>
  </w:style>
  <w:style w:type="character" w:customStyle="1" w:styleId="jpfdse">
    <w:name w:val="jpfdse"/>
    <w:basedOn w:val="DefaultParagraphFont"/>
    <w:rsid w:val="00410505"/>
  </w:style>
  <w:style w:type="character" w:customStyle="1" w:styleId="eop">
    <w:name w:val="eop"/>
    <w:basedOn w:val="DefaultParagraphFont"/>
    <w:rsid w:val="003575A8"/>
  </w:style>
  <w:style w:type="character" w:styleId="Mention">
    <w:name w:val="Mention"/>
    <w:basedOn w:val="DefaultParagraphFont"/>
    <w:uiPriority w:val="99"/>
    <w:unhideWhenUsed/>
    <w:rsid w:val="00A02DAB"/>
    <w:rPr>
      <w:color w:val="2B579A"/>
      <w:shd w:val="clear" w:color="auto" w:fill="E1DFDD"/>
    </w:rPr>
  </w:style>
  <w:style w:type="table" w:styleId="GridTable4">
    <w:name w:val="Grid Table 4"/>
    <w:basedOn w:val="TableNormal"/>
    <w:uiPriority w:val="49"/>
    <w:rsid w:val="004F0FD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438C"/>
    <w:pPr>
      <w:spacing w:after="0" w:line="240" w:lineRule="auto"/>
    </w:pPr>
    <w:tblPr>
      <w:tblStyleRowBandSize w:val="1"/>
      <w:tblStyleColBandSize w:val="1"/>
      <w:tblBorders>
        <w:top w:val="single" w:sz="4" w:space="0" w:color="003740" w:themeColor="text2" w:themeShade="80"/>
        <w:left w:val="single" w:sz="4" w:space="0" w:color="003740" w:themeColor="text2" w:themeShade="80"/>
        <w:bottom w:val="single" w:sz="4" w:space="0" w:color="003740" w:themeColor="text2" w:themeShade="80"/>
        <w:right w:val="single" w:sz="4" w:space="0" w:color="003740" w:themeColor="text2" w:themeShade="80"/>
        <w:insideH w:val="single" w:sz="4" w:space="0" w:color="003740" w:themeColor="text2" w:themeShade="80"/>
        <w:insideV w:val="single" w:sz="4" w:space="0" w:color="003740" w:themeColor="text2" w:themeShade="80"/>
      </w:tblBorders>
    </w:tblPr>
    <w:tcPr>
      <w:shd w:val="clear" w:color="auto" w:fill="auto"/>
    </w:tcPr>
    <w:tblStylePr w:type="firstRow">
      <w:rPr>
        <w:b/>
        <w:bCs/>
        <w:color w:val="FFFFFF" w:themeColor="background1"/>
      </w:rPr>
      <w:tblPr/>
      <w:tcPr>
        <w:shd w:val="clear" w:color="auto" w:fill="005160" w:themeFill="text2" w:themeFillShade="BF"/>
      </w:tcPr>
    </w:tblStylePr>
    <w:tblStylePr w:type="lastRow">
      <w:rPr>
        <w:b/>
        <w:bCs/>
      </w:rPr>
      <w:tblPr/>
      <w:tcPr>
        <w:tcBorders>
          <w:top w:val="double" w:sz="4" w:space="0" w:color="4D3F5A" w:themeColor="accent1"/>
        </w:tcBorders>
      </w:tcPr>
    </w:tblStylePr>
    <w:tblStylePr w:type="firstCol">
      <w:rPr>
        <w:b/>
        <w:bCs/>
      </w:rPr>
    </w:tblStylePr>
    <w:tblStylePr w:type="lastCol">
      <w:rPr>
        <w:b/>
        <w:bCs/>
      </w:rPr>
    </w:tblStylePr>
    <w:tblStylePr w:type="band1Vert">
      <w:tblPr/>
      <w:tcPr>
        <w:shd w:val="clear" w:color="auto" w:fill="DBD4E1" w:themeFill="accent1" w:themeFillTint="33"/>
      </w:tcPr>
    </w:tblStylePr>
    <w:tblStylePr w:type="band1Horz">
      <w:tblPr/>
      <w:tcPr>
        <w:shd w:val="clear" w:color="auto" w:fill="E9F9F4" w:themeFill="accent3" w:themeFillTint="33"/>
      </w:tcPr>
    </w:tblStylePr>
  </w:style>
  <w:style w:type="character" w:customStyle="1" w:styleId="ui-provider">
    <w:name w:val="ui-provider"/>
    <w:basedOn w:val="DefaultParagraphFont"/>
    <w:rsid w:val="00B46135"/>
  </w:style>
  <w:style w:type="character" w:customStyle="1" w:styleId="cf01">
    <w:name w:val="cf01"/>
    <w:basedOn w:val="DefaultParagraphFont"/>
    <w:rsid w:val="007E18F0"/>
    <w:rPr>
      <w:rFonts w:ascii="Segoe UI" w:hAnsi="Segoe UI" w:cs="Segoe UI" w:hint="default"/>
      <w:sz w:val="18"/>
      <w:szCs w:val="18"/>
    </w:rPr>
  </w:style>
  <w:style w:type="paragraph" w:customStyle="1" w:styleId="pf0">
    <w:name w:val="pf0"/>
    <w:basedOn w:val="Normal"/>
    <w:rsid w:val="0008761F"/>
    <w:pPr>
      <w:spacing w:before="100" w:beforeAutospacing="1" w:after="100" w:afterAutospacing="1" w:line="240" w:lineRule="auto"/>
      <w:ind w:left="20"/>
    </w:pPr>
    <w:rPr>
      <w:rFonts w:ascii="Times New Roman" w:eastAsia="Times New Roman" w:hAnsi="Times New Roman" w:cs="Times New Roman"/>
      <w:szCs w:val="24"/>
      <w:lang w:eastAsia="en-CA"/>
    </w:rPr>
  </w:style>
  <w:style w:type="character" w:customStyle="1" w:styleId="cf11">
    <w:name w:val="cf11"/>
    <w:basedOn w:val="DefaultParagraphFont"/>
    <w:rsid w:val="0008761F"/>
    <w:rPr>
      <w:rFonts w:ascii="Segoe UI" w:hAnsi="Segoe UI" w:cs="Segoe UI" w:hint="default"/>
      <w:color w:val="505050"/>
      <w:sz w:val="18"/>
      <w:szCs w:val="18"/>
    </w:rPr>
  </w:style>
  <w:style w:type="paragraph" w:styleId="FootnoteText">
    <w:name w:val="footnote text"/>
    <w:basedOn w:val="Normal"/>
    <w:link w:val="FootnoteTextChar"/>
    <w:uiPriority w:val="99"/>
    <w:semiHidden/>
    <w:unhideWhenUsed/>
    <w:rsid w:val="0010142D"/>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0142D"/>
    <w:rPr>
      <w:sz w:val="20"/>
      <w:szCs w:val="20"/>
    </w:rPr>
  </w:style>
  <w:style w:type="character" w:styleId="FootnoteReference">
    <w:name w:val="footnote reference"/>
    <w:basedOn w:val="DefaultParagraphFont"/>
    <w:uiPriority w:val="99"/>
    <w:semiHidden/>
    <w:unhideWhenUsed/>
    <w:rsid w:val="0010142D"/>
    <w:rPr>
      <w:vertAlign w:val="superscript"/>
    </w:rPr>
  </w:style>
  <w:style w:type="paragraph" w:customStyle="1" w:styleId="Heading2A">
    <w:name w:val="Heading 2A"/>
    <w:basedOn w:val="Heading2"/>
    <w:link w:val="Heading2AChar"/>
    <w:qFormat/>
    <w:rsid w:val="00146865"/>
  </w:style>
  <w:style w:type="character" w:customStyle="1" w:styleId="Heading2AChar">
    <w:name w:val="Heading 2A Char"/>
    <w:basedOn w:val="Heading2Char"/>
    <w:link w:val="Heading2A"/>
    <w:rsid w:val="00146865"/>
    <w:rPr>
      <w:rFonts w:eastAsiaTheme="majorEastAsia" w:cstheme="majorBidi"/>
      <w:b/>
      <w:bCs/>
      <w:smallCaps/>
      <w:color w:val="006E81" w:themeColor="text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327">
      <w:bodyDiv w:val="1"/>
      <w:marLeft w:val="0"/>
      <w:marRight w:val="0"/>
      <w:marTop w:val="0"/>
      <w:marBottom w:val="0"/>
      <w:divBdr>
        <w:top w:val="none" w:sz="0" w:space="0" w:color="auto"/>
        <w:left w:val="none" w:sz="0" w:space="0" w:color="auto"/>
        <w:bottom w:val="none" w:sz="0" w:space="0" w:color="auto"/>
        <w:right w:val="none" w:sz="0" w:space="0" w:color="auto"/>
      </w:divBdr>
    </w:div>
    <w:div w:id="3361445">
      <w:bodyDiv w:val="1"/>
      <w:marLeft w:val="0"/>
      <w:marRight w:val="0"/>
      <w:marTop w:val="0"/>
      <w:marBottom w:val="0"/>
      <w:divBdr>
        <w:top w:val="none" w:sz="0" w:space="0" w:color="auto"/>
        <w:left w:val="none" w:sz="0" w:space="0" w:color="auto"/>
        <w:bottom w:val="none" w:sz="0" w:space="0" w:color="auto"/>
        <w:right w:val="none" w:sz="0" w:space="0" w:color="auto"/>
      </w:divBdr>
      <w:divsChild>
        <w:div w:id="199899093">
          <w:marLeft w:val="547"/>
          <w:marRight w:val="0"/>
          <w:marTop w:val="120"/>
          <w:marBottom w:val="120"/>
          <w:divBdr>
            <w:top w:val="none" w:sz="0" w:space="0" w:color="auto"/>
            <w:left w:val="none" w:sz="0" w:space="0" w:color="auto"/>
            <w:bottom w:val="none" w:sz="0" w:space="0" w:color="auto"/>
            <w:right w:val="none" w:sz="0" w:space="0" w:color="auto"/>
          </w:divBdr>
        </w:div>
        <w:div w:id="381831706">
          <w:marLeft w:val="547"/>
          <w:marRight w:val="0"/>
          <w:marTop w:val="120"/>
          <w:marBottom w:val="120"/>
          <w:divBdr>
            <w:top w:val="none" w:sz="0" w:space="0" w:color="auto"/>
            <w:left w:val="none" w:sz="0" w:space="0" w:color="auto"/>
            <w:bottom w:val="none" w:sz="0" w:space="0" w:color="auto"/>
            <w:right w:val="none" w:sz="0" w:space="0" w:color="auto"/>
          </w:divBdr>
        </w:div>
        <w:div w:id="1121222654">
          <w:marLeft w:val="547"/>
          <w:marRight w:val="0"/>
          <w:marTop w:val="120"/>
          <w:marBottom w:val="120"/>
          <w:divBdr>
            <w:top w:val="none" w:sz="0" w:space="0" w:color="auto"/>
            <w:left w:val="none" w:sz="0" w:space="0" w:color="auto"/>
            <w:bottom w:val="none" w:sz="0" w:space="0" w:color="auto"/>
            <w:right w:val="none" w:sz="0" w:space="0" w:color="auto"/>
          </w:divBdr>
        </w:div>
      </w:divsChild>
    </w:div>
    <w:div w:id="20671856">
      <w:bodyDiv w:val="1"/>
      <w:marLeft w:val="0"/>
      <w:marRight w:val="0"/>
      <w:marTop w:val="0"/>
      <w:marBottom w:val="0"/>
      <w:divBdr>
        <w:top w:val="none" w:sz="0" w:space="0" w:color="auto"/>
        <w:left w:val="none" w:sz="0" w:space="0" w:color="auto"/>
        <w:bottom w:val="none" w:sz="0" w:space="0" w:color="auto"/>
        <w:right w:val="none" w:sz="0" w:space="0" w:color="auto"/>
      </w:divBdr>
    </w:div>
    <w:div w:id="29117012">
      <w:bodyDiv w:val="1"/>
      <w:marLeft w:val="0"/>
      <w:marRight w:val="0"/>
      <w:marTop w:val="0"/>
      <w:marBottom w:val="0"/>
      <w:divBdr>
        <w:top w:val="none" w:sz="0" w:space="0" w:color="auto"/>
        <w:left w:val="none" w:sz="0" w:space="0" w:color="auto"/>
        <w:bottom w:val="none" w:sz="0" w:space="0" w:color="auto"/>
        <w:right w:val="none" w:sz="0" w:space="0" w:color="auto"/>
      </w:divBdr>
    </w:div>
    <w:div w:id="30692668">
      <w:bodyDiv w:val="1"/>
      <w:marLeft w:val="0"/>
      <w:marRight w:val="0"/>
      <w:marTop w:val="0"/>
      <w:marBottom w:val="0"/>
      <w:divBdr>
        <w:top w:val="none" w:sz="0" w:space="0" w:color="auto"/>
        <w:left w:val="none" w:sz="0" w:space="0" w:color="auto"/>
        <w:bottom w:val="none" w:sz="0" w:space="0" w:color="auto"/>
        <w:right w:val="none" w:sz="0" w:space="0" w:color="auto"/>
      </w:divBdr>
    </w:div>
    <w:div w:id="42214778">
      <w:bodyDiv w:val="1"/>
      <w:marLeft w:val="0"/>
      <w:marRight w:val="0"/>
      <w:marTop w:val="0"/>
      <w:marBottom w:val="0"/>
      <w:divBdr>
        <w:top w:val="none" w:sz="0" w:space="0" w:color="auto"/>
        <w:left w:val="none" w:sz="0" w:space="0" w:color="auto"/>
        <w:bottom w:val="none" w:sz="0" w:space="0" w:color="auto"/>
        <w:right w:val="none" w:sz="0" w:space="0" w:color="auto"/>
      </w:divBdr>
    </w:div>
    <w:div w:id="63837783">
      <w:bodyDiv w:val="1"/>
      <w:marLeft w:val="0"/>
      <w:marRight w:val="0"/>
      <w:marTop w:val="0"/>
      <w:marBottom w:val="0"/>
      <w:divBdr>
        <w:top w:val="none" w:sz="0" w:space="0" w:color="auto"/>
        <w:left w:val="none" w:sz="0" w:space="0" w:color="auto"/>
        <w:bottom w:val="none" w:sz="0" w:space="0" w:color="auto"/>
        <w:right w:val="none" w:sz="0" w:space="0" w:color="auto"/>
      </w:divBdr>
    </w:div>
    <w:div w:id="70390041">
      <w:bodyDiv w:val="1"/>
      <w:marLeft w:val="0"/>
      <w:marRight w:val="0"/>
      <w:marTop w:val="0"/>
      <w:marBottom w:val="0"/>
      <w:divBdr>
        <w:top w:val="none" w:sz="0" w:space="0" w:color="auto"/>
        <w:left w:val="none" w:sz="0" w:space="0" w:color="auto"/>
        <w:bottom w:val="none" w:sz="0" w:space="0" w:color="auto"/>
        <w:right w:val="none" w:sz="0" w:space="0" w:color="auto"/>
      </w:divBdr>
      <w:divsChild>
        <w:div w:id="67195333">
          <w:marLeft w:val="547"/>
          <w:marRight w:val="0"/>
          <w:marTop w:val="0"/>
          <w:marBottom w:val="0"/>
          <w:divBdr>
            <w:top w:val="none" w:sz="0" w:space="0" w:color="auto"/>
            <w:left w:val="none" w:sz="0" w:space="0" w:color="auto"/>
            <w:bottom w:val="none" w:sz="0" w:space="0" w:color="auto"/>
            <w:right w:val="none" w:sz="0" w:space="0" w:color="auto"/>
          </w:divBdr>
        </w:div>
        <w:div w:id="110562289">
          <w:marLeft w:val="547"/>
          <w:marRight w:val="0"/>
          <w:marTop w:val="0"/>
          <w:marBottom w:val="0"/>
          <w:divBdr>
            <w:top w:val="none" w:sz="0" w:space="0" w:color="auto"/>
            <w:left w:val="none" w:sz="0" w:space="0" w:color="auto"/>
            <w:bottom w:val="none" w:sz="0" w:space="0" w:color="auto"/>
            <w:right w:val="none" w:sz="0" w:space="0" w:color="auto"/>
          </w:divBdr>
        </w:div>
        <w:div w:id="163981530">
          <w:marLeft w:val="547"/>
          <w:marRight w:val="0"/>
          <w:marTop w:val="0"/>
          <w:marBottom w:val="0"/>
          <w:divBdr>
            <w:top w:val="none" w:sz="0" w:space="0" w:color="auto"/>
            <w:left w:val="none" w:sz="0" w:space="0" w:color="auto"/>
            <w:bottom w:val="none" w:sz="0" w:space="0" w:color="auto"/>
            <w:right w:val="none" w:sz="0" w:space="0" w:color="auto"/>
          </w:divBdr>
        </w:div>
        <w:div w:id="216431255">
          <w:marLeft w:val="547"/>
          <w:marRight w:val="0"/>
          <w:marTop w:val="0"/>
          <w:marBottom w:val="0"/>
          <w:divBdr>
            <w:top w:val="none" w:sz="0" w:space="0" w:color="auto"/>
            <w:left w:val="none" w:sz="0" w:space="0" w:color="auto"/>
            <w:bottom w:val="none" w:sz="0" w:space="0" w:color="auto"/>
            <w:right w:val="none" w:sz="0" w:space="0" w:color="auto"/>
          </w:divBdr>
        </w:div>
        <w:div w:id="226383805">
          <w:marLeft w:val="547"/>
          <w:marRight w:val="0"/>
          <w:marTop w:val="0"/>
          <w:marBottom w:val="0"/>
          <w:divBdr>
            <w:top w:val="none" w:sz="0" w:space="0" w:color="auto"/>
            <w:left w:val="none" w:sz="0" w:space="0" w:color="auto"/>
            <w:bottom w:val="none" w:sz="0" w:space="0" w:color="auto"/>
            <w:right w:val="none" w:sz="0" w:space="0" w:color="auto"/>
          </w:divBdr>
        </w:div>
        <w:div w:id="303198040">
          <w:marLeft w:val="547"/>
          <w:marRight w:val="0"/>
          <w:marTop w:val="0"/>
          <w:marBottom w:val="0"/>
          <w:divBdr>
            <w:top w:val="none" w:sz="0" w:space="0" w:color="auto"/>
            <w:left w:val="none" w:sz="0" w:space="0" w:color="auto"/>
            <w:bottom w:val="none" w:sz="0" w:space="0" w:color="auto"/>
            <w:right w:val="none" w:sz="0" w:space="0" w:color="auto"/>
          </w:divBdr>
        </w:div>
        <w:div w:id="356010608">
          <w:marLeft w:val="547"/>
          <w:marRight w:val="0"/>
          <w:marTop w:val="0"/>
          <w:marBottom w:val="0"/>
          <w:divBdr>
            <w:top w:val="none" w:sz="0" w:space="0" w:color="auto"/>
            <w:left w:val="none" w:sz="0" w:space="0" w:color="auto"/>
            <w:bottom w:val="none" w:sz="0" w:space="0" w:color="auto"/>
            <w:right w:val="none" w:sz="0" w:space="0" w:color="auto"/>
          </w:divBdr>
        </w:div>
        <w:div w:id="357701314">
          <w:marLeft w:val="547"/>
          <w:marRight w:val="0"/>
          <w:marTop w:val="0"/>
          <w:marBottom w:val="0"/>
          <w:divBdr>
            <w:top w:val="none" w:sz="0" w:space="0" w:color="auto"/>
            <w:left w:val="none" w:sz="0" w:space="0" w:color="auto"/>
            <w:bottom w:val="none" w:sz="0" w:space="0" w:color="auto"/>
            <w:right w:val="none" w:sz="0" w:space="0" w:color="auto"/>
          </w:divBdr>
        </w:div>
        <w:div w:id="410004987">
          <w:marLeft w:val="547"/>
          <w:marRight w:val="0"/>
          <w:marTop w:val="0"/>
          <w:marBottom w:val="0"/>
          <w:divBdr>
            <w:top w:val="none" w:sz="0" w:space="0" w:color="auto"/>
            <w:left w:val="none" w:sz="0" w:space="0" w:color="auto"/>
            <w:bottom w:val="none" w:sz="0" w:space="0" w:color="auto"/>
            <w:right w:val="none" w:sz="0" w:space="0" w:color="auto"/>
          </w:divBdr>
        </w:div>
        <w:div w:id="438768196">
          <w:marLeft w:val="547"/>
          <w:marRight w:val="0"/>
          <w:marTop w:val="0"/>
          <w:marBottom w:val="0"/>
          <w:divBdr>
            <w:top w:val="none" w:sz="0" w:space="0" w:color="auto"/>
            <w:left w:val="none" w:sz="0" w:space="0" w:color="auto"/>
            <w:bottom w:val="none" w:sz="0" w:space="0" w:color="auto"/>
            <w:right w:val="none" w:sz="0" w:space="0" w:color="auto"/>
          </w:divBdr>
        </w:div>
        <w:div w:id="461967171">
          <w:marLeft w:val="547"/>
          <w:marRight w:val="0"/>
          <w:marTop w:val="0"/>
          <w:marBottom w:val="0"/>
          <w:divBdr>
            <w:top w:val="none" w:sz="0" w:space="0" w:color="auto"/>
            <w:left w:val="none" w:sz="0" w:space="0" w:color="auto"/>
            <w:bottom w:val="none" w:sz="0" w:space="0" w:color="auto"/>
            <w:right w:val="none" w:sz="0" w:space="0" w:color="auto"/>
          </w:divBdr>
        </w:div>
        <w:div w:id="580531350">
          <w:marLeft w:val="547"/>
          <w:marRight w:val="0"/>
          <w:marTop w:val="0"/>
          <w:marBottom w:val="0"/>
          <w:divBdr>
            <w:top w:val="none" w:sz="0" w:space="0" w:color="auto"/>
            <w:left w:val="none" w:sz="0" w:space="0" w:color="auto"/>
            <w:bottom w:val="none" w:sz="0" w:space="0" w:color="auto"/>
            <w:right w:val="none" w:sz="0" w:space="0" w:color="auto"/>
          </w:divBdr>
        </w:div>
        <w:div w:id="726493054">
          <w:marLeft w:val="547"/>
          <w:marRight w:val="0"/>
          <w:marTop w:val="0"/>
          <w:marBottom w:val="0"/>
          <w:divBdr>
            <w:top w:val="none" w:sz="0" w:space="0" w:color="auto"/>
            <w:left w:val="none" w:sz="0" w:space="0" w:color="auto"/>
            <w:bottom w:val="none" w:sz="0" w:space="0" w:color="auto"/>
            <w:right w:val="none" w:sz="0" w:space="0" w:color="auto"/>
          </w:divBdr>
        </w:div>
        <w:div w:id="778795712">
          <w:marLeft w:val="547"/>
          <w:marRight w:val="0"/>
          <w:marTop w:val="0"/>
          <w:marBottom w:val="0"/>
          <w:divBdr>
            <w:top w:val="none" w:sz="0" w:space="0" w:color="auto"/>
            <w:left w:val="none" w:sz="0" w:space="0" w:color="auto"/>
            <w:bottom w:val="none" w:sz="0" w:space="0" w:color="auto"/>
            <w:right w:val="none" w:sz="0" w:space="0" w:color="auto"/>
          </w:divBdr>
        </w:div>
        <w:div w:id="817305798">
          <w:marLeft w:val="547"/>
          <w:marRight w:val="0"/>
          <w:marTop w:val="0"/>
          <w:marBottom w:val="0"/>
          <w:divBdr>
            <w:top w:val="none" w:sz="0" w:space="0" w:color="auto"/>
            <w:left w:val="none" w:sz="0" w:space="0" w:color="auto"/>
            <w:bottom w:val="none" w:sz="0" w:space="0" w:color="auto"/>
            <w:right w:val="none" w:sz="0" w:space="0" w:color="auto"/>
          </w:divBdr>
        </w:div>
        <w:div w:id="834493195">
          <w:marLeft w:val="547"/>
          <w:marRight w:val="0"/>
          <w:marTop w:val="0"/>
          <w:marBottom w:val="0"/>
          <w:divBdr>
            <w:top w:val="none" w:sz="0" w:space="0" w:color="auto"/>
            <w:left w:val="none" w:sz="0" w:space="0" w:color="auto"/>
            <w:bottom w:val="none" w:sz="0" w:space="0" w:color="auto"/>
            <w:right w:val="none" w:sz="0" w:space="0" w:color="auto"/>
          </w:divBdr>
        </w:div>
        <w:div w:id="850290716">
          <w:marLeft w:val="547"/>
          <w:marRight w:val="0"/>
          <w:marTop w:val="0"/>
          <w:marBottom w:val="0"/>
          <w:divBdr>
            <w:top w:val="none" w:sz="0" w:space="0" w:color="auto"/>
            <w:left w:val="none" w:sz="0" w:space="0" w:color="auto"/>
            <w:bottom w:val="none" w:sz="0" w:space="0" w:color="auto"/>
            <w:right w:val="none" w:sz="0" w:space="0" w:color="auto"/>
          </w:divBdr>
        </w:div>
        <w:div w:id="858394054">
          <w:marLeft w:val="547"/>
          <w:marRight w:val="0"/>
          <w:marTop w:val="0"/>
          <w:marBottom w:val="0"/>
          <w:divBdr>
            <w:top w:val="none" w:sz="0" w:space="0" w:color="auto"/>
            <w:left w:val="none" w:sz="0" w:space="0" w:color="auto"/>
            <w:bottom w:val="none" w:sz="0" w:space="0" w:color="auto"/>
            <w:right w:val="none" w:sz="0" w:space="0" w:color="auto"/>
          </w:divBdr>
        </w:div>
        <w:div w:id="1093210832">
          <w:marLeft w:val="547"/>
          <w:marRight w:val="0"/>
          <w:marTop w:val="0"/>
          <w:marBottom w:val="0"/>
          <w:divBdr>
            <w:top w:val="none" w:sz="0" w:space="0" w:color="auto"/>
            <w:left w:val="none" w:sz="0" w:space="0" w:color="auto"/>
            <w:bottom w:val="none" w:sz="0" w:space="0" w:color="auto"/>
            <w:right w:val="none" w:sz="0" w:space="0" w:color="auto"/>
          </w:divBdr>
        </w:div>
        <w:div w:id="1229027434">
          <w:marLeft w:val="547"/>
          <w:marRight w:val="0"/>
          <w:marTop w:val="0"/>
          <w:marBottom w:val="0"/>
          <w:divBdr>
            <w:top w:val="none" w:sz="0" w:space="0" w:color="auto"/>
            <w:left w:val="none" w:sz="0" w:space="0" w:color="auto"/>
            <w:bottom w:val="none" w:sz="0" w:space="0" w:color="auto"/>
            <w:right w:val="none" w:sz="0" w:space="0" w:color="auto"/>
          </w:divBdr>
        </w:div>
        <w:div w:id="1235161467">
          <w:marLeft w:val="547"/>
          <w:marRight w:val="0"/>
          <w:marTop w:val="0"/>
          <w:marBottom w:val="0"/>
          <w:divBdr>
            <w:top w:val="none" w:sz="0" w:space="0" w:color="auto"/>
            <w:left w:val="none" w:sz="0" w:space="0" w:color="auto"/>
            <w:bottom w:val="none" w:sz="0" w:space="0" w:color="auto"/>
            <w:right w:val="none" w:sz="0" w:space="0" w:color="auto"/>
          </w:divBdr>
        </w:div>
        <w:div w:id="1243223509">
          <w:marLeft w:val="547"/>
          <w:marRight w:val="0"/>
          <w:marTop w:val="0"/>
          <w:marBottom w:val="0"/>
          <w:divBdr>
            <w:top w:val="none" w:sz="0" w:space="0" w:color="auto"/>
            <w:left w:val="none" w:sz="0" w:space="0" w:color="auto"/>
            <w:bottom w:val="none" w:sz="0" w:space="0" w:color="auto"/>
            <w:right w:val="none" w:sz="0" w:space="0" w:color="auto"/>
          </w:divBdr>
        </w:div>
        <w:div w:id="1324818793">
          <w:marLeft w:val="547"/>
          <w:marRight w:val="0"/>
          <w:marTop w:val="0"/>
          <w:marBottom w:val="0"/>
          <w:divBdr>
            <w:top w:val="none" w:sz="0" w:space="0" w:color="auto"/>
            <w:left w:val="none" w:sz="0" w:space="0" w:color="auto"/>
            <w:bottom w:val="none" w:sz="0" w:space="0" w:color="auto"/>
            <w:right w:val="none" w:sz="0" w:space="0" w:color="auto"/>
          </w:divBdr>
        </w:div>
        <w:div w:id="1388990557">
          <w:marLeft w:val="547"/>
          <w:marRight w:val="0"/>
          <w:marTop w:val="0"/>
          <w:marBottom w:val="0"/>
          <w:divBdr>
            <w:top w:val="none" w:sz="0" w:space="0" w:color="auto"/>
            <w:left w:val="none" w:sz="0" w:space="0" w:color="auto"/>
            <w:bottom w:val="none" w:sz="0" w:space="0" w:color="auto"/>
            <w:right w:val="none" w:sz="0" w:space="0" w:color="auto"/>
          </w:divBdr>
        </w:div>
        <w:div w:id="1563787214">
          <w:marLeft w:val="547"/>
          <w:marRight w:val="0"/>
          <w:marTop w:val="0"/>
          <w:marBottom w:val="0"/>
          <w:divBdr>
            <w:top w:val="none" w:sz="0" w:space="0" w:color="auto"/>
            <w:left w:val="none" w:sz="0" w:space="0" w:color="auto"/>
            <w:bottom w:val="none" w:sz="0" w:space="0" w:color="auto"/>
            <w:right w:val="none" w:sz="0" w:space="0" w:color="auto"/>
          </w:divBdr>
        </w:div>
        <w:div w:id="1765226086">
          <w:marLeft w:val="547"/>
          <w:marRight w:val="0"/>
          <w:marTop w:val="0"/>
          <w:marBottom w:val="0"/>
          <w:divBdr>
            <w:top w:val="none" w:sz="0" w:space="0" w:color="auto"/>
            <w:left w:val="none" w:sz="0" w:space="0" w:color="auto"/>
            <w:bottom w:val="none" w:sz="0" w:space="0" w:color="auto"/>
            <w:right w:val="none" w:sz="0" w:space="0" w:color="auto"/>
          </w:divBdr>
        </w:div>
        <w:div w:id="1766920905">
          <w:marLeft w:val="547"/>
          <w:marRight w:val="0"/>
          <w:marTop w:val="0"/>
          <w:marBottom w:val="0"/>
          <w:divBdr>
            <w:top w:val="none" w:sz="0" w:space="0" w:color="auto"/>
            <w:left w:val="none" w:sz="0" w:space="0" w:color="auto"/>
            <w:bottom w:val="none" w:sz="0" w:space="0" w:color="auto"/>
            <w:right w:val="none" w:sz="0" w:space="0" w:color="auto"/>
          </w:divBdr>
        </w:div>
        <w:div w:id="1782142960">
          <w:marLeft w:val="547"/>
          <w:marRight w:val="0"/>
          <w:marTop w:val="0"/>
          <w:marBottom w:val="0"/>
          <w:divBdr>
            <w:top w:val="none" w:sz="0" w:space="0" w:color="auto"/>
            <w:left w:val="none" w:sz="0" w:space="0" w:color="auto"/>
            <w:bottom w:val="none" w:sz="0" w:space="0" w:color="auto"/>
            <w:right w:val="none" w:sz="0" w:space="0" w:color="auto"/>
          </w:divBdr>
        </w:div>
        <w:div w:id="1874951410">
          <w:marLeft w:val="547"/>
          <w:marRight w:val="0"/>
          <w:marTop w:val="0"/>
          <w:marBottom w:val="0"/>
          <w:divBdr>
            <w:top w:val="none" w:sz="0" w:space="0" w:color="auto"/>
            <w:left w:val="none" w:sz="0" w:space="0" w:color="auto"/>
            <w:bottom w:val="none" w:sz="0" w:space="0" w:color="auto"/>
            <w:right w:val="none" w:sz="0" w:space="0" w:color="auto"/>
          </w:divBdr>
        </w:div>
        <w:div w:id="1876238572">
          <w:marLeft w:val="547"/>
          <w:marRight w:val="0"/>
          <w:marTop w:val="0"/>
          <w:marBottom w:val="0"/>
          <w:divBdr>
            <w:top w:val="none" w:sz="0" w:space="0" w:color="auto"/>
            <w:left w:val="none" w:sz="0" w:space="0" w:color="auto"/>
            <w:bottom w:val="none" w:sz="0" w:space="0" w:color="auto"/>
            <w:right w:val="none" w:sz="0" w:space="0" w:color="auto"/>
          </w:divBdr>
        </w:div>
        <w:div w:id="1916552513">
          <w:marLeft w:val="547"/>
          <w:marRight w:val="0"/>
          <w:marTop w:val="0"/>
          <w:marBottom w:val="0"/>
          <w:divBdr>
            <w:top w:val="none" w:sz="0" w:space="0" w:color="auto"/>
            <w:left w:val="none" w:sz="0" w:space="0" w:color="auto"/>
            <w:bottom w:val="none" w:sz="0" w:space="0" w:color="auto"/>
            <w:right w:val="none" w:sz="0" w:space="0" w:color="auto"/>
          </w:divBdr>
        </w:div>
        <w:div w:id="2037660601">
          <w:marLeft w:val="547"/>
          <w:marRight w:val="0"/>
          <w:marTop w:val="0"/>
          <w:marBottom w:val="0"/>
          <w:divBdr>
            <w:top w:val="none" w:sz="0" w:space="0" w:color="auto"/>
            <w:left w:val="none" w:sz="0" w:space="0" w:color="auto"/>
            <w:bottom w:val="none" w:sz="0" w:space="0" w:color="auto"/>
            <w:right w:val="none" w:sz="0" w:space="0" w:color="auto"/>
          </w:divBdr>
        </w:div>
      </w:divsChild>
    </w:div>
    <w:div w:id="85275690">
      <w:bodyDiv w:val="1"/>
      <w:marLeft w:val="0"/>
      <w:marRight w:val="0"/>
      <w:marTop w:val="0"/>
      <w:marBottom w:val="0"/>
      <w:divBdr>
        <w:top w:val="none" w:sz="0" w:space="0" w:color="auto"/>
        <w:left w:val="none" w:sz="0" w:space="0" w:color="auto"/>
        <w:bottom w:val="none" w:sz="0" w:space="0" w:color="auto"/>
        <w:right w:val="none" w:sz="0" w:space="0" w:color="auto"/>
      </w:divBdr>
    </w:div>
    <w:div w:id="90512396">
      <w:bodyDiv w:val="1"/>
      <w:marLeft w:val="0"/>
      <w:marRight w:val="0"/>
      <w:marTop w:val="0"/>
      <w:marBottom w:val="0"/>
      <w:divBdr>
        <w:top w:val="none" w:sz="0" w:space="0" w:color="auto"/>
        <w:left w:val="none" w:sz="0" w:space="0" w:color="auto"/>
        <w:bottom w:val="none" w:sz="0" w:space="0" w:color="auto"/>
        <w:right w:val="none" w:sz="0" w:space="0" w:color="auto"/>
      </w:divBdr>
    </w:div>
    <w:div w:id="108201900">
      <w:bodyDiv w:val="1"/>
      <w:marLeft w:val="0"/>
      <w:marRight w:val="0"/>
      <w:marTop w:val="0"/>
      <w:marBottom w:val="0"/>
      <w:divBdr>
        <w:top w:val="none" w:sz="0" w:space="0" w:color="auto"/>
        <w:left w:val="none" w:sz="0" w:space="0" w:color="auto"/>
        <w:bottom w:val="none" w:sz="0" w:space="0" w:color="auto"/>
        <w:right w:val="none" w:sz="0" w:space="0" w:color="auto"/>
      </w:divBdr>
      <w:divsChild>
        <w:div w:id="557087883">
          <w:marLeft w:val="1555"/>
          <w:marRight w:val="0"/>
          <w:marTop w:val="0"/>
          <w:marBottom w:val="0"/>
          <w:divBdr>
            <w:top w:val="none" w:sz="0" w:space="0" w:color="auto"/>
            <w:left w:val="none" w:sz="0" w:space="0" w:color="auto"/>
            <w:bottom w:val="none" w:sz="0" w:space="0" w:color="auto"/>
            <w:right w:val="none" w:sz="0" w:space="0" w:color="auto"/>
          </w:divBdr>
        </w:div>
        <w:div w:id="932514809">
          <w:marLeft w:val="1555"/>
          <w:marRight w:val="0"/>
          <w:marTop w:val="0"/>
          <w:marBottom w:val="0"/>
          <w:divBdr>
            <w:top w:val="none" w:sz="0" w:space="0" w:color="auto"/>
            <w:left w:val="none" w:sz="0" w:space="0" w:color="auto"/>
            <w:bottom w:val="none" w:sz="0" w:space="0" w:color="auto"/>
            <w:right w:val="none" w:sz="0" w:space="0" w:color="auto"/>
          </w:divBdr>
        </w:div>
        <w:div w:id="1893885507">
          <w:marLeft w:val="1555"/>
          <w:marRight w:val="0"/>
          <w:marTop w:val="0"/>
          <w:marBottom w:val="0"/>
          <w:divBdr>
            <w:top w:val="none" w:sz="0" w:space="0" w:color="auto"/>
            <w:left w:val="none" w:sz="0" w:space="0" w:color="auto"/>
            <w:bottom w:val="none" w:sz="0" w:space="0" w:color="auto"/>
            <w:right w:val="none" w:sz="0" w:space="0" w:color="auto"/>
          </w:divBdr>
        </w:div>
      </w:divsChild>
    </w:div>
    <w:div w:id="137845822">
      <w:bodyDiv w:val="1"/>
      <w:marLeft w:val="0"/>
      <w:marRight w:val="0"/>
      <w:marTop w:val="0"/>
      <w:marBottom w:val="0"/>
      <w:divBdr>
        <w:top w:val="none" w:sz="0" w:space="0" w:color="auto"/>
        <w:left w:val="none" w:sz="0" w:space="0" w:color="auto"/>
        <w:bottom w:val="none" w:sz="0" w:space="0" w:color="auto"/>
        <w:right w:val="none" w:sz="0" w:space="0" w:color="auto"/>
      </w:divBdr>
    </w:div>
    <w:div w:id="151065643">
      <w:bodyDiv w:val="1"/>
      <w:marLeft w:val="0"/>
      <w:marRight w:val="0"/>
      <w:marTop w:val="0"/>
      <w:marBottom w:val="0"/>
      <w:divBdr>
        <w:top w:val="none" w:sz="0" w:space="0" w:color="auto"/>
        <w:left w:val="none" w:sz="0" w:space="0" w:color="auto"/>
        <w:bottom w:val="none" w:sz="0" w:space="0" w:color="auto"/>
        <w:right w:val="none" w:sz="0" w:space="0" w:color="auto"/>
      </w:divBdr>
      <w:divsChild>
        <w:div w:id="1404795184">
          <w:marLeft w:val="274"/>
          <w:marRight w:val="0"/>
          <w:marTop w:val="0"/>
          <w:marBottom w:val="0"/>
          <w:divBdr>
            <w:top w:val="none" w:sz="0" w:space="0" w:color="auto"/>
            <w:left w:val="none" w:sz="0" w:space="0" w:color="auto"/>
            <w:bottom w:val="none" w:sz="0" w:space="0" w:color="auto"/>
            <w:right w:val="none" w:sz="0" w:space="0" w:color="auto"/>
          </w:divBdr>
        </w:div>
        <w:div w:id="1508521424">
          <w:marLeft w:val="274"/>
          <w:marRight w:val="0"/>
          <w:marTop w:val="0"/>
          <w:marBottom w:val="0"/>
          <w:divBdr>
            <w:top w:val="none" w:sz="0" w:space="0" w:color="auto"/>
            <w:left w:val="none" w:sz="0" w:space="0" w:color="auto"/>
            <w:bottom w:val="none" w:sz="0" w:space="0" w:color="auto"/>
            <w:right w:val="none" w:sz="0" w:space="0" w:color="auto"/>
          </w:divBdr>
        </w:div>
        <w:div w:id="1533303641">
          <w:marLeft w:val="274"/>
          <w:marRight w:val="0"/>
          <w:marTop w:val="0"/>
          <w:marBottom w:val="0"/>
          <w:divBdr>
            <w:top w:val="none" w:sz="0" w:space="0" w:color="auto"/>
            <w:left w:val="none" w:sz="0" w:space="0" w:color="auto"/>
            <w:bottom w:val="none" w:sz="0" w:space="0" w:color="auto"/>
            <w:right w:val="none" w:sz="0" w:space="0" w:color="auto"/>
          </w:divBdr>
        </w:div>
      </w:divsChild>
    </w:div>
    <w:div w:id="158425064">
      <w:bodyDiv w:val="1"/>
      <w:marLeft w:val="0"/>
      <w:marRight w:val="0"/>
      <w:marTop w:val="0"/>
      <w:marBottom w:val="0"/>
      <w:divBdr>
        <w:top w:val="none" w:sz="0" w:space="0" w:color="auto"/>
        <w:left w:val="none" w:sz="0" w:space="0" w:color="auto"/>
        <w:bottom w:val="none" w:sz="0" w:space="0" w:color="auto"/>
        <w:right w:val="none" w:sz="0" w:space="0" w:color="auto"/>
      </w:divBdr>
    </w:div>
    <w:div w:id="163054851">
      <w:bodyDiv w:val="1"/>
      <w:marLeft w:val="0"/>
      <w:marRight w:val="0"/>
      <w:marTop w:val="0"/>
      <w:marBottom w:val="0"/>
      <w:divBdr>
        <w:top w:val="none" w:sz="0" w:space="0" w:color="auto"/>
        <w:left w:val="none" w:sz="0" w:space="0" w:color="auto"/>
        <w:bottom w:val="none" w:sz="0" w:space="0" w:color="auto"/>
        <w:right w:val="none" w:sz="0" w:space="0" w:color="auto"/>
      </w:divBdr>
    </w:div>
    <w:div w:id="171604557">
      <w:bodyDiv w:val="1"/>
      <w:marLeft w:val="0"/>
      <w:marRight w:val="0"/>
      <w:marTop w:val="0"/>
      <w:marBottom w:val="0"/>
      <w:divBdr>
        <w:top w:val="none" w:sz="0" w:space="0" w:color="auto"/>
        <w:left w:val="none" w:sz="0" w:space="0" w:color="auto"/>
        <w:bottom w:val="none" w:sz="0" w:space="0" w:color="auto"/>
        <w:right w:val="none" w:sz="0" w:space="0" w:color="auto"/>
      </w:divBdr>
      <w:divsChild>
        <w:div w:id="25524268">
          <w:marLeft w:val="547"/>
          <w:marRight w:val="0"/>
          <w:marTop w:val="0"/>
          <w:marBottom w:val="0"/>
          <w:divBdr>
            <w:top w:val="none" w:sz="0" w:space="0" w:color="auto"/>
            <w:left w:val="none" w:sz="0" w:space="0" w:color="auto"/>
            <w:bottom w:val="none" w:sz="0" w:space="0" w:color="auto"/>
            <w:right w:val="none" w:sz="0" w:space="0" w:color="auto"/>
          </w:divBdr>
        </w:div>
        <w:div w:id="125199752">
          <w:marLeft w:val="547"/>
          <w:marRight w:val="0"/>
          <w:marTop w:val="0"/>
          <w:marBottom w:val="0"/>
          <w:divBdr>
            <w:top w:val="none" w:sz="0" w:space="0" w:color="auto"/>
            <w:left w:val="none" w:sz="0" w:space="0" w:color="auto"/>
            <w:bottom w:val="none" w:sz="0" w:space="0" w:color="auto"/>
            <w:right w:val="none" w:sz="0" w:space="0" w:color="auto"/>
          </w:divBdr>
        </w:div>
        <w:div w:id="133718119">
          <w:marLeft w:val="547"/>
          <w:marRight w:val="0"/>
          <w:marTop w:val="0"/>
          <w:marBottom w:val="0"/>
          <w:divBdr>
            <w:top w:val="none" w:sz="0" w:space="0" w:color="auto"/>
            <w:left w:val="none" w:sz="0" w:space="0" w:color="auto"/>
            <w:bottom w:val="none" w:sz="0" w:space="0" w:color="auto"/>
            <w:right w:val="none" w:sz="0" w:space="0" w:color="auto"/>
          </w:divBdr>
        </w:div>
        <w:div w:id="236207678">
          <w:marLeft w:val="547"/>
          <w:marRight w:val="0"/>
          <w:marTop w:val="0"/>
          <w:marBottom w:val="0"/>
          <w:divBdr>
            <w:top w:val="none" w:sz="0" w:space="0" w:color="auto"/>
            <w:left w:val="none" w:sz="0" w:space="0" w:color="auto"/>
            <w:bottom w:val="none" w:sz="0" w:space="0" w:color="auto"/>
            <w:right w:val="none" w:sz="0" w:space="0" w:color="auto"/>
          </w:divBdr>
        </w:div>
        <w:div w:id="273633490">
          <w:marLeft w:val="547"/>
          <w:marRight w:val="0"/>
          <w:marTop w:val="0"/>
          <w:marBottom w:val="0"/>
          <w:divBdr>
            <w:top w:val="none" w:sz="0" w:space="0" w:color="auto"/>
            <w:left w:val="none" w:sz="0" w:space="0" w:color="auto"/>
            <w:bottom w:val="none" w:sz="0" w:space="0" w:color="auto"/>
            <w:right w:val="none" w:sz="0" w:space="0" w:color="auto"/>
          </w:divBdr>
        </w:div>
        <w:div w:id="394668559">
          <w:marLeft w:val="547"/>
          <w:marRight w:val="0"/>
          <w:marTop w:val="0"/>
          <w:marBottom w:val="0"/>
          <w:divBdr>
            <w:top w:val="none" w:sz="0" w:space="0" w:color="auto"/>
            <w:left w:val="none" w:sz="0" w:space="0" w:color="auto"/>
            <w:bottom w:val="none" w:sz="0" w:space="0" w:color="auto"/>
            <w:right w:val="none" w:sz="0" w:space="0" w:color="auto"/>
          </w:divBdr>
        </w:div>
        <w:div w:id="534273650">
          <w:marLeft w:val="547"/>
          <w:marRight w:val="0"/>
          <w:marTop w:val="0"/>
          <w:marBottom w:val="0"/>
          <w:divBdr>
            <w:top w:val="none" w:sz="0" w:space="0" w:color="auto"/>
            <w:left w:val="none" w:sz="0" w:space="0" w:color="auto"/>
            <w:bottom w:val="none" w:sz="0" w:space="0" w:color="auto"/>
            <w:right w:val="none" w:sz="0" w:space="0" w:color="auto"/>
          </w:divBdr>
        </w:div>
        <w:div w:id="599532402">
          <w:marLeft w:val="547"/>
          <w:marRight w:val="0"/>
          <w:marTop w:val="0"/>
          <w:marBottom w:val="0"/>
          <w:divBdr>
            <w:top w:val="none" w:sz="0" w:space="0" w:color="auto"/>
            <w:left w:val="none" w:sz="0" w:space="0" w:color="auto"/>
            <w:bottom w:val="none" w:sz="0" w:space="0" w:color="auto"/>
            <w:right w:val="none" w:sz="0" w:space="0" w:color="auto"/>
          </w:divBdr>
        </w:div>
        <w:div w:id="618411168">
          <w:marLeft w:val="547"/>
          <w:marRight w:val="0"/>
          <w:marTop w:val="0"/>
          <w:marBottom w:val="0"/>
          <w:divBdr>
            <w:top w:val="none" w:sz="0" w:space="0" w:color="auto"/>
            <w:left w:val="none" w:sz="0" w:space="0" w:color="auto"/>
            <w:bottom w:val="none" w:sz="0" w:space="0" w:color="auto"/>
            <w:right w:val="none" w:sz="0" w:space="0" w:color="auto"/>
          </w:divBdr>
        </w:div>
        <w:div w:id="669065908">
          <w:marLeft w:val="547"/>
          <w:marRight w:val="0"/>
          <w:marTop w:val="0"/>
          <w:marBottom w:val="0"/>
          <w:divBdr>
            <w:top w:val="none" w:sz="0" w:space="0" w:color="auto"/>
            <w:left w:val="none" w:sz="0" w:space="0" w:color="auto"/>
            <w:bottom w:val="none" w:sz="0" w:space="0" w:color="auto"/>
            <w:right w:val="none" w:sz="0" w:space="0" w:color="auto"/>
          </w:divBdr>
        </w:div>
        <w:div w:id="734016174">
          <w:marLeft w:val="547"/>
          <w:marRight w:val="0"/>
          <w:marTop w:val="0"/>
          <w:marBottom w:val="0"/>
          <w:divBdr>
            <w:top w:val="none" w:sz="0" w:space="0" w:color="auto"/>
            <w:left w:val="none" w:sz="0" w:space="0" w:color="auto"/>
            <w:bottom w:val="none" w:sz="0" w:space="0" w:color="auto"/>
            <w:right w:val="none" w:sz="0" w:space="0" w:color="auto"/>
          </w:divBdr>
        </w:div>
        <w:div w:id="802120012">
          <w:marLeft w:val="547"/>
          <w:marRight w:val="0"/>
          <w:marTop w:val="0"/>
          <w:marBottom w:val="0"/>
          <w:divBdr>
            <w:top w:val="none" w:sz="0" w:space="0" w:color="auto"/>
            <w:left w:val="none" w:sz="0" w:space="0" w:color="auto"/>
            <w:bottom w:val="none" w:sz="0" w:space="0" w:color="auto"/>
            <w:right w:val="none" w:sz="0" w:space="0" w:color="auto"/>
          </w:divBdr>
        </w:div>
        <w:div w:id="805852072">
          <w:marLeft w:val="547"/>
          <w:marRight w:val="0"/>
          <w:marTop w:val="0"/>
          <w:marBottom w:val="0"/>
          <w:divBdr>
            <w:top w:val="none" w:sz="0" w:space="0" w:color="auto"/>
            <w:left w:val="none" w:sz="0" w:space="0" w:color="auto"/>
            <w:bottom w:val="none" w:sz="0" w:space="0" w:color="auto"/>
            <w:right w:val="none" w:sz="0" w:space="0" w:color="auto"/>
          </w:divBdr>
        </w:div>
        <w:div w:id="860775624">
          <w:marLeft w:val="547"/>
          <w:marRight w:val="0"/>
          <w:marTop w:val="0"/>
          <w:marBottom w:val="0"/>
          <w:divBdr>
            <w:top w:val="none" w:sz="0" w:space="0" w:color="auto"/>
            <w:left w:val="none" w:sz="0" w:space="0" w:color="auto"/>
            <w:bottom w:val="none" w:sz="0" w:space="0" w:color="auto"/>
            <w:right w:val="none" w:sz="0" w:space="0" w:color="auto"/>
          </w:divBdr>
        </w:div>
        <w:div w:id="966083756">
          <w:marLeft w:val="547"/>
          <w:marRight w:val="0"/>
          <w:marTop w:val="0"/>
          <w:marBottom w:val="0"/>
          <w:divBdr>
            <w:top w:val="none" w:sz="0" w:space="0" w:color="auto"/>
            <w:left w:val="none" w:sz="0" w:space="0" w:color="auto"/>
            <w:bottom w:val="none" w:sz="0" w:space="0" w:color="auto"/>
            <w:right w:val="none" w:sz="0" w:space="0" w:color="auto"/>
          </w:divBdr>
        </w:div>
        <w:div w:id="999962380">
          <w:marLeft w:val="547"/>
          <w:marRight w:val="0"/>
          <w:marTop w:val="0"/>
          <w:marBottom w:val="0"/>
          <w:divBdr>
            <w:top w:val="none" w:sz="0" w:space="0" w:color="auto"/>
            <w:left w:val="none" w:sz="0" w:space="0" w:color="auto"/>
            <w:bottom w:val="none" w:sz="0" w:space="0" w:color="auto"/>
            <w:right w:val="none" w:sz="0" w:space="0" w:color="auto"/>
          </w:divBdr>
        </w:div>
        <w:div w:id="1080177240">
          <w:marLeft w:val="547"/>
          <w:marRight w:val="0"/>
          <w:marTop w:val="0"/>
          <w:marBottom w:val="0"/>
          <w:divBdr>
            <w:top w:val="none" w:sz="0" w:space="0" w:color="auto"/>
            <w:left w:val="none" w:sz="0" w:space="0" w:color="auto"/>
            <w:bottom w:val="none" w:sz="0" w:space="0" w:color="auto"/>
            <w:right w:val="none" w:sz="0" w:space="0" w:color="auto"/>
          </w:divBdr>
        </w:div>
        <w:div w:id="1232232363">
          <w:marLeft w:val="547"/>
          <w:marRight w:val="0"/>
          <w:marTop w:val="0"/>
          <w:marBottom w:val="0"/>
          <w:divBdr>
            <w:top w:val="none" w:sz="0" w:space="0" w:color="auto"/>
            <w:left w:val="none" w:sz="0" w:space="0" w:color="auto"/>
            <w:bottom w:val="none" w:sz="0" w:space="0" w:color="auto"/>
            <w:right w:val="none" w:sz="0" w:space="0" w:color="auto"/>
          </w:divBdr>
        </w:div>
        <w:div w:id="1333728262">
          <w:marLeft w:val="547"/>
          <w:marRight w:val="0"/>
          <w:marTop w:val="0"/>
          <w:marBottom w:val="0"/>
          <w:divBdr>
            <w:top w:val="none" w:sz="0" w:space="0" w:color="auto"/>
            <w:left w:val="none" w:sz="0" w:space="0" w:color="auto"/>
            <w:bottom w:val="none" w:sz="0" w:space="0" w:color="auto"/>
            <w:right w:val="none" w:sz="0" w:space="0" w:color="auto"/>
          </w:divBdr>
        </w:div>
        <w:div w:id="1413745206">
          <w:marLeft w:val="547"/>
          <w:marRight w:val="0"/>
          <w:marTop w:val="0"/>
          <w:marBottom w:val="0"/>
          <w:divBdr>
            <w:top w:val="none" w:sz="0" w:space="0" w:color="auto"/>
            <w:left w:val="none" w:sz="0" w:space="0" w:color="auto"/>
            <w:bottom w:val="none" w:sz="0" w:space="0" w:color="auto"/>
            <w:right w:val="none" w:sz="0" w:space="0" w:color="auto"/>
          </w:divBdr>
        </w:div>
        <w:div w:id="1443646708">
          <w:marLeft w:val="547"/>
          <w:marRight w:val="0"/>
          <w:marTop w:val="0"/>
          <w:marBottom w:val="0"/>
          <w:divBdr>
            <w:top w:val="none" w:sz="0" w:space="0" w:color="auto"/>
            <w:left w:val="none" w:sz="0" w:space="0" w:color="auto"/>
            <w:bottom w:val="none" w:sz="0" w:space="0" w:color="auto"/>
            <w:right w:val="none" w:sz="0" w:space="0" w:color="auto"/>
          </w:divBdr>
        </w:div>
        <w:div w:id="1657957506">
          <w:marLeft w:val="547"/>
          <w:marRight w:val="0"/>
          <w:marTop w:val="0"/>
          <w:marBottom w:val="0"/>
          <w:divBdr>
            <w:top w:val="none" w:sz="0" w:space="0" w:color="auto"/>
            <w:left w:val="none" w:sz="0" w:space="0" w:color="auto"/>
            <w:bottom w:val="none" w:sz="0" w:space="0" w:color="auto"/>
            <w:right w:val="none" w:sz="0" w:space="0" w:color="auto"/>
          </w:divBdr>
        </w:div>
        <w:div w:id="1684284062">
          <w:marLeft w:val="547"/>
          <w:marRight w:val="0"/>
          <w:marTop w:val="0"/>
          <w:marBottom w:val="0"/>
          <w:divBdr>
            <w:top w:val="none" w:sz="0" w:space="0" w:color="auto"/>
            <w:left w:val="none" w:sz="0" w:space="0" w:color="auto"/>
            <w:bottom w:val="none" w:sz="0" w:space="0" w:color="auto"/>
            <w:right w:val="none" w:sz="0" w:space="0" w:color="auto"/>
          </w:divBdr>
        </w:div>
        <w:div w:id="1730884215">
          <w:marLeft w:val="547"/>
          <w:marRight w:val="0"/>
          <w:marTop w:val="0"/>
          <w:marBottom w:val="0"/>
          <w:divBdr>
            <w:top w:val="none" w:sz="0" w:space="0" w:color="auto"/>
            <w:left w:val="none" w:sz="0" w:space="0" w:color="auto"/>
            <w:bottom w:val="none" w:sz="0" w:space="0" w:color="auto"/>
            <w:right w:val="none" w:sz="0" w:space="0" w:color="auto"/>
          </w:divBdr>
        </w:div>
        <w:div w:id="1859612518">
          <w:marLeft w:val="547"/>
          <w:marRight w:val="0"/>
          <w:marTop w:val="0"/>
          <w:marBottom w:val="0"/>
          <w:divBdr>
            <w:top w:val="none" w:sz="0" w:space="0" w:color="auto"/>
            <w:left w:val="none" w:sz="0" w:space="0" w:color="auto"/>
            <w:bottom w:val="none" w:sz="0" w:space="0" w:color="auto"/>
            <w:right w:val="none" w:sz="0" w:space="0" w:color="auto"/>
          </w:divBdr>
        </w:div>
        <w:div w:id="1877424926">
          <w:marLeft w:val="547"/>
          <w:marRight w:val="0"/>
          <w:marTop w:val="0"/>
          <w:marBottom w:val="0"/>
          <w:divBdr>
            <w:top w:val="none" w:sz="0" w:space="0" w:color="auto"/>
            <w:left w:val="none" w:sz="0" w:space="0" w:color="auto"/>
            <w:bottom w:val="none" w:sz="0" w:space="0" w:color="auto"/>
            <w:right w:val="none" w:sz="0" w:space="0" w:color="auto"/>
          </w:divBdr>
        </w:div>
        <w:div w:id="1988316311">
          <w:marLeft w:val="547"/>
          <w:marRight w:val="0"/>
          <w:marTop w:val="0"/>
          <w:marBottom w:val="0"/>
          <w:divBdr>
            <w:top w:val="none" w:sz="0" w:space="0" w:color="auto"/>
            <w:left w:val="none" w:sz="0" w:space="0" w:color="auto"/>
            <w:bottom w:val="none" w:sz="0" w:space="0" w:color="auto"/>
            <w:right w:val="none" w:sz="0" w:space="0" w:color="auto"/>
          </w:divBdr>
        </w:div>
        <w:div w:id="2016373991">
          <w:marLeft w:val="547"/>
          <w:marRight w:val="0"/>
          <w:marTop w:val="0"/>
          <w:marBottom w:val="0"/>
          <w:divBdr>
            <w:top w:val="none" w:sz="0" w:space="0" w:color="auto"/>
            <w:left w:val="none" w:sz="0" w:space="0" w:color="auto"/>
            <w:bottom w:val="none" w:sz="0" w:space="0" w:color="auto"/>
            <w:right w:val="none" w:sz="0" w:space="0" w:color="auto"/>
          </w:divBdr>
        </w:div>
        <w:div w:id="2026666084">
          <w:marLeft w:val="547"/>
          <w:marRight w:val="0"/>
          <w:marTop w:val="0"/>
          <w:marBottom w:val="0"/>
          <w:divBdr>
            <w:top w:val="none" w:sz="0" w:space="0" w:color="auto"/>
            <w:left w:val="none" w:sz="0" w:space="0" w:color="auto"/>
            <w:bottom w:val="none" w:sz="0" w:space="0" w:color="auto"/>
            <w:right w:val="none" w:sz="0" w:space="0" w:color="auto"/>
          </w:divBdr>
        </w:div>
        <w:div w:id="2036687001">
          <w:marLeft w:val="547"/>
          <w:marRight w:val="0"/>
          <w:marTop w:val="0"/>
          <w:marBottom w:val="0"/>
          <w:divBdr>
            <w:top w:val="none" w:sz="0" w:space="0" w:color="auto"/>
            <w:left w:val="none" w:sz="0" w:space="0" w:color="auto"/>
            <w:bottom w:val="none" w:sz="0" w:space="0" w:color="auto"/>
            <w:right w:val="none" w:sz="0" w:space="0" w:color="auto"/>
          </w:divBdr>
        </w:div>
        <w:div w:id="2121950964">
          <w:marLeft w:val="547"/>
          <w:marRight w:val="0"/>
          <w:marTop w:val="0"/>
          <w:marBottom w:val="0"/>
          <w:divBdr>
            <w:top w:val="none" w:sz="0" w:space="0" w:color="auto"/>
            <w:left w:val="none" w:sz="0" w:space="0" w:color="auto"/>
            <w:bottom w:val="none" w:sz="0" w:space="0" w:color="auto"/>
            <w:right w:val="none" w:sz="0" w:space="0" w:color="auto"/>
          </w:divBdr>
        </w:div>
        <w:div w:id="2143380515">
          <w:marLeft w:val="547"/>
          <w:marRight w:val="0"/>
          <w:marTop w:val="0"/>
          <w:marBottom w:val="0"/>
          <w:divBdr>
            <w:top w:val="none" w:sz="0" w:space="0" w:color="auto"/>
            <w:left w:val="none" w:sz="0" w:space="0" w:color="auto"/>
            <w:bottom w:val="none" w:sz="0" w:space="0" w:color="auto"/>
            <w:right w:val="none" w:sz="0" w:space="0" w:color="auto"/>
          </w:divBdr>
        </w:div>
      </w:divsChild>
    </w:div>
    <w:div w:id="190345998">
      <w:bodyDiv w:val="1"/>
      <w:marLeft w:val="0"/>
      <w:marRight w:val="0"/>
      <w:marTop w:val="0"/>
      <w:marBottom w:val="0"/>
      <w:divBdr>
        <w:top w:val="none" w:sz="0" w:space="0" w:color="auto"/>
        <w:left w:val="none" w:sz="0" w:space="0" w:color="auto"/>
        <w:bottom w:val="none" w:sz="0" w:space="0" w:color="auto"/>
        <w:right w:val="none" w:sz="0" w:space="0" w:color="auto"/>
      </w:divBdr>
    </w:div>
    <w:div w:id="237831408">
      <w:bodyDiv w:val="1"/>
      <w:marLeft w:val="0"/>
      <w:marRight w:val="0"/>
      <w:marTop w:val="0"/>
      <w:marBottom w:val="0"/>
      <w:divBdr>
        <w:top w:val="none" w:sz="0" w:space="0" w:color="auto"/>
        <w:left w:val="none" w:sz="0" w:space="0" w:color="auto"/>
        <w:bottom w:val="none" w:sz="0" w:space="0" w:color="auto"/>
        <w:right w:val="none" w:sz="0" w:space="0" w:color="auto"/>
      </w:divBdr>
    </w:div>
    <w:div w:id="240220301">
      <w:bodyDiv w:val="1"/>
      <w:marLeft w:val="0"/>
      <w:marRight w:val="0"/>
      <w:marTop w:val="0"/>
      <w:marBottom w:val="0"/>
      <w:divBdr>
        <w:top w:val="none" w:sz="0" w:space="0" w:color="auto"/>
        <w:left w:val="none" w:sz="0" w:space="0" w:color="auto"/>
        <w:bottom w:val="none" w:sz="0" w:space="0" w:color="auto"/>
        <w:right w:val="none" w:sz="0" w:space="0" w:color="auto"/>
      </w:divBdr>
    </w:div>
    <w:div w:id="263072966">
      <w:bodyDiv w:val="1"/>
      <w:marLeft w:val="0"/>
      <w:marRight w:val="0"/>
      <w:marTop w:val="0"/>
      <w:marBottom w:val="0"/>
      <w:divBdr>
        <w:top w:val="none" w:sz="0" w:space="0" w:color="auto"/>
        <w:left w:val="none" w:sz="0" w:space="0" w:color="auto"/>
        <w:bottom w:val="none" w:sz="0" w:space="0" w:color="auto"/>
        <w:right w:val="none" w:sz="0" w:space="0" w:color="auto"/>
      </w:divBdr>
      <w:divsChild>
        <w:div w:id="568417030">
          <w:marLeft w:val="274"/>
          <w:marRight w:val="0"/>
          <w:marTop w:val="0"/>
          <w:marBottom w:val="0"/>
          <w:divBdr>
            <w:top w:val="none" w:sz="0" w:space="0" w:color="auto"/>
            <w:left w:val="none" w:sz="0" w:space="0" w:color="auto"/>
            <w:bottom w:val="none" w:sz="0" w:space="0" w:color="auto"/>
            <w:right w:val="none" w:sz="0" w:space="0" w:color="auto"/>
          </w:divBdr>
        </w:div>
        <w:div w:id="1223443602">
          <w:marLeft w:val="274"/>
          <w:marRight w:val="0"/>
          <w:marTop w:val="0"/>
          <w:marBottom w:val="0"/>
          <w:divBdr>
            <w:top w:val="none" w:sz="0" w:space="0" w:color="auto"/>
            <w:left w:val="none" w:sz="0" w:space="0" w:color="auto"/>
            <w:bottom w:val="none" w:sz="0" w:space="0" w:color="auto"/>
            <w:right w:val="none" w:sz="0" w:space="0" w:color="auto"/>
          </w:divBdr>
        </w:div>
        <w:div w:id="1804230281">
          <w:marLeft w:val="274"/>
          <w:marRight w:val="0"/>
          <w:marTop w:val="0"/>
          <w:marBottom w:val="0"/>
          <w:divBdr>
            <w:top w:val="none" w:sz="0" w:space="0" w:color="auto"/>
            <w:left w:val="none" w:sz="0" w:space="0" w:color="auto"/>
            <w:bottom w:val="none" w:sz="0" w:space="0" w:color="auto"/>
            <w:right w:val="none" w:sz="0" w:space="0" w:color="auto"/>
          </w:divBdr>
        </w:div>
      </w:divsChild>
    </w:div>
    <w:div w:id="281152441">
      <w:bodyDiv w:val="1"/>
      <w:marLeft w:val="0"/>
      <w:marRight w:val="0"/>
      <w:marTop w:val="0"/>
      <w:marBottom w:val="0"/>
      <w:divBdr>
        <w:top w:val="none" w:sz="0" w:space="0" w:color="auto"/>
        <w:left w:val="none" w:sz="0" w:space="0" w:color="auto"/>
        <w:bottom w:val="none" w:sz="0" w:space="0" w:color="auto"/>
        <w:right w:val="none" w:sz="0" w:space="0" w:color="auto"/>
      </w:divBdr>
    </w:div>
    <w:div w:id="287198812">
      <w:bodyDiv w:val="1"/>
      <w:marLeft w:val="0"/>
      <w:marRight w:val="0"/>
      <w:marTop w:val="0"/>
      <w:marBottom w:val="0"/>
      <w:divBdr>
        <w:top w:val="none" w:sz="0" w:space="0" w:color="auto"/>
        <w:left w:val="none" w:sz="0" w:space="0" w:color="auto"/>
        <w:bottom w:val="none" w:sz="0" w:space="0" w:color="auto"/>
        <w:right w:val="none" w:sz="0" w:space="0" w:color="auto"/>
      </w:divBdr>
    </w:div>
    <w:div w:id="313340169">
      <w:bodyDiv w:val="1"/>
      <w:marLeft w:val="0"/>
      <w:marRight w:val="0"/>
      <w:marTop w:val="0"/>
      <w:marBottom w:val="0"/>
      <w:divBdr>
        <w:top w:val="none" w:sz="0" w:space="0" w:color="auto"/>
        <w:left w:val="none" w:sz="0" w:space="0" w:color="auto"/>
        <w:bottom w:val="none" w:sz="0" w:space="0" w:color="auto"/>
        <w:right w:val="none" w:sz="0" w:space="0" w:color="auto"/>
      </w:divBdr>
    </w:div>
    <w:div w:id="332494941">
      <w:bodyDiv w:val="1"/>
      <w:marLeft w:val="0"/>
      <w:marRight w:val="0"/>
      <w:marTop w:val="0"/>
      <w:marBottom w:val="0"/>
      <w:divBdr>
        <w:top w:val="none" w:sz="0" w:space="0" w:color="auto"/>
        <w:left w:val="none" w:sz="0" w:space="0" w:color="auto"/>
        <w:bottom w:val="none" w:sz="0" w:space="0" w:color="auto"/>
        <w:right w:val="none" w:sz="0" w:space="0" w:color="auto"/>
      </w:divBdr>
    </w:div>
    <w:div w:id="384959801">
      <w:bodyDiv w:val="1"/>
      <w:marLeft w:val="0"/>
      <w:marRight w:val="0"/>
      <w:marTop w:val="0"/>
      <w:marBottom w:val="0"/>
      <w:divBdr>
        <w:top w:val="none" w:sz="0" w:space="0" w:color="auto"/>
        <w:left w:val="none" w:sz="0" w:space="0" w:color="auto"/>
        <w:bottom w:val="none" w:sz="0" w:space="0" w:color="auto"/>
        <w:right w:val="none" w:sz="0" w:space="0" w:color="auto"/>
      </w:divBdr>
      <w:divsChild>
        <w:div w:id="1063257377">
          <w:marLeft w:val="274"/>
          <w:marRight w:val="0"/>
          <w:marTop w:val="0"/>
          <w:marBottom w:val="0"/>
          <w:divBdr>
            <w:top w:val="none" w:sz="0" w:space="0" w:color="auto"/>
            <w:left w:val="none" w:sz="0" w:space="0" w:color="auto"/>
            <w:bottom w:val="none" w:sz="0" w:space="0" w:color="auto"/>
            <w:right w:val="none" w:sz="0" w:space="0" w:color="auto"/>
          </w:divBdr>
        </w:div>
        <w:div w:id="1065761468">
          <w:marLeft w:val="274"/>
          <w:marRight w:val="0"/>
          <w:marTop w:val="0"/>
          <w:marBottom w:val="0"/>
          <w:divBdr>
            <w:top w:val="none" w:sz="0" w:space="0" w:color="auto"/>
            <w:left w:val="none" w:sz="0" w:space="0" w:color="auto"/>
            <w:bottom w:val="none" w:sz="0" w:space="0" w:color="auto"/>
            <w:right w:val="none" w:sz="0" w:space="0" w:color="auto"/>
          </w:divBdr>
        </w:div>
        <w:div w:id="1585456017">
          <w:marLeft w:val="274"/>
          <w:marRight w:val="0"/>
          <w:marTop w:val="0"/>
          <w:marBottom w:val="0"/>
          <w:divBdr>
            <w:top w:val="none" w:sz="0" w:space="0" w:color="auto"/>
            <w:left w:val="none" w:sz="0" w:space="0" w:color="auto"/>
            <w:bottom w:val="none" w:sz="0" w:space="0" w:color="auto"/>
            <w:right w:val="none" w:sz="0" w:space="0" w:color="auto"/>
          </w:divBdr>
        </w:div>
      </w:divsChild>
    </w:div>
    <w:div w:id="419299601">
      <w:bodyDiv w:val="1"/>
      <w:marLeft w:val="0"/>
      <w:marRight w:val="0"/>
      <w:marTop w:val="0"/>
      <w:marBottom w:val="0"/>
      <w:divBdr>
        <w:top w:val="none" w:sz="0" w:space="0" w:color="auto"/>
        <w:left w:val="none" w:sz="0" w:space="0" w:color="auto"/>
        <w:bottom w:val="none" w:sz="0" w:space="0" w:color="auto"/>
        <w:right w:val="none" w:sz="0" w:space="0" w:color="auto"/>
      </w:divBdr>
    </w:div>
    <w:div w:id="443695247">
      <w:bodyDiv w:val="1"/>
      <w:marLeft w:val="0"/>
      <w:marRight w:val="0"/>
      <w:marTop w:val="0"/>
      <w:marBottom w:val="0"/>
      <w:divBdr>
        <w:top w:val="none" w:sz="0" w:space="0" w:color="auto"/>
        <w:left w:val="none" w:sz="0" w:space="0" w:color="auto"/>
        <w:bottom w:val="none" w:sz="0" w:space="0" w:color="auto"/>
        <w:right w:val="none" w:sz="0" w:space="0" w:color="auto"/>
      </w:divBdr>
    </w:div>
    <w:div w:id="468285744">
      <w:bodyDiv w:val="1"/>
      <w:marLeft w:val="0"/>
      <w:marRight w:val="0"/>
      <w:marTop w:val="0"/>
      <w:marBottom w:val="0"/>
      <w:divBdr>
        <w:top w:val="none" w:sz="0" w:space="0" w:color="auto"/>
        <w:left w:val="none" w:sz="0" w:space="0" w:color="auto"/>
        <w:bottom w:val="none" w:sz="0" w:space="0" w:color="auto"/>
        <w:right w:val="none" w:sz="0" w:space="0" w:color="auto"/>
      </w:divBdr>
    </w:div>
    <w:div w:id="501312939">
      <w:bodyDiv w:val="1"/>
      <w:marLeft w:val="0"/>
      <w:marRight w:val="0"/>
      <w:marTop w:val="0"/>
      <w:marBottom w:val="0"/>
      <w:divBdr>
        <w:top w:val="none" w:sz="0" w:space="0" w:color="auto"/>
        <w:left w:val="none" w:sz="0" w:space="0" w:color="auto"/>
        <w:bottom w:val="none" w:sz="0" w:space="0" w:color="auto"/>
        <w:right w:val="none" w:sz="0" w:space="0" w:color="auto"/>
      </w:divBdr>
    </w:div>
    <w:div w:id="512568740">
      <w:bodyDiv w:val="1"/>
      <w:marLeft w:val="0"/>
      <w:marRight w:val="0"/>
      <w:marTop w:val="0"/>
      <w:marBottom w:val="0"/>
      <w:divBdr>
        <w:top w:val="none" w:sz="0" w:space="0" w:color="auto"/>
        <w:left w:val="none" w:sz="0" w:space="0" w:color="auto"/>
        <w:bottom w:val="none" w:sz="0" w:space="0" w:color="auto"/>
        <w:right w:val="none" w:sz="0" w:space="0" w:color="auto"/>
      </w:divBdr>
    </w:div>
    <w:div w:id="513570297">
      <w:bodyDiv w:val="1"/>
      <w:marLeft w:val="0"/>
      <w:marRight w:val="0"/>
      <w:marTop w:val="0"/>
      <w:marBottom w:val="0"/>
      <w:divBdr>
        <w:top w:val="none" w:sz="0" w:space="0" w:color="auto"/>
        <w:left w:val="none" w:sz="0" w:space="0" w:color="auto"/>
        <w:bottom w:val="none" w:sz="0" w:space="0" w:color="auto"/>
        <w:right w:val="none" w:sz="0" w:space="0" w:color="auto"/>
      </w:divBdr>
    </w:div>
    <w:div w:id="518084051">
      <w:bodyDiv w:val="1"/>
      <w:marLeft w:val="0"/>
      <w:marRight w:val="0"/>
      <w:marTop w:val="0"/>
      <w:marBottom w:val="0"/>
      <w:divBdr>
        <w:top w:val="none" w:sz="0" w:space="0" w:color="auto"/>
        <w:left w:val="none" w:sz="0" w:space="0" w:color="auto"/>
        <w:bottom w:val="none" w:sz="0" w:space="0" w:color="auto"/>
        <w:right w:val="none" w:sz="0" w:space="0" w:color="auto"/>
      </w:divBdr>
    </w:div>
    <w:div w:id="565921134">
      <w:bodyDiv w:val="1"/>
      <w:marLeft w:val="0"/>
      <w:marRight w:val="0"/>
      <w:marTop w:val="0"/>
      <w:marBottom w:val="0"/>
      <w:divBdr>
        <w:top w:val="none" w:sz="0" w:space="0" w:color="auto"/>
        <w:left w:val="none" w:sz="0" w:space="0" w:color="auto"/>
        <w:bottom w:val="none" w:sz="0" w:space="0" w:color="auto"/>
        <w:right w:val="none" w:sz="0" w:space="0" w:color="auto"/>
      </w:divBdr>
      <w:divsChild>
        <w:div w:id="170604995">
          <w:marLeft w:val="1440"/>
          <w:marRight w:val="0"/>
          <w:marTop w:val="77"/>
          <w:marBottom w:val="0"/>
          <w:divBdr>
            <w:top w:val="none" w:sz="0" w:space="0" w:color="auto"/>
            <w:left w:val="none" w:sz="0" w:space="0" w:color="auto"/>
            <w:bottom w:val="none" w:sz="0" w:space="0" w:color="auto"/>
            <w:right w:val="none" w:sz="0" w:space="0" w:color="auto"/>
          </w:divBdr>
        </w:div>
        <w:div w:id="369574140">
          <w:marLeft w:val="1440"/>
          <w:marRight w:val="0"/>
          <w:marTop w:val="77"/>
          <w:marBottom w:val="0"/>
          <w:divBdr>
            <w:top w:val="none" w:sz="0" w:space="0" w:color="auto"/>
            <w:left w:val="none" w:sz="0" w:space="0" w:color="auto"/>
            <w:bottom w:val="none" w:sz="0" w:space="0" w:color="auto"/>
            <w:right w:val="none" w:sz="0" w:space="0" w:color="auto"/>
          </w:divBdr>
        </w:div>
        <w:div w:id="1432626079">
          <w:marLeft w:val="1440"/>
          <w:marRight w:val="0"/>
          <w:marTop w:val="77"/>
          <w:marBottom w:val="0"/>
          <w:divBdr>
            <w:top w:val="none" w:sz="0" w:space="0" w:color="auto"/>
            <w:left w:val="none" w:sz="0" w:space="0" w:color="auto"/>
            <w:bottom w:val="none" w:sz="0" w:space="0" w:color="auto"/>
            <w:right w:val="none" w:sz="0" w:space="0" w:color="auto"/>
          </w:divBdr>
        </w:div>
        <w:div w:id="1872571301">
          <w:marLeft w:val="1440"/>
          <w:marRight w:val="0"/>
          <w:marTop w:val="77"/>
          <w:marBottom w:val="0"/>
          <w:divBdr>
            <w:top w:val="none" w:sz="0" w:space="0" w:color="auto"/>
            <w:left w:val="none" w:sz="0" w:space="0" w:color="auto"/>
            <w:bottom w:val="none" w:sz="0" w:space="0" w:color="auto"/>
            <w:right w:val="none" w:sz="0" w:space="0" w:color="auto"/>
          </w:divBdr>
        </w:div>
      </w:divsChild>
    </w:div>
    <w:div w:id="576745796">
      <w:bodyDiv w:val="1"/>
      <w:marLeft w:val="0"/>
      <w:marRight w:val="0"/>
      <w:marTop w:val="0"/>
      <w:marBottom w:val="0"/>
      <w:divBdr>
        <w:top w:val="none" w:sz="0" w:space="0" w:color="auto"/>
        <w:left w:val="none" w:sz="0" w:space="0" w:color="auto"/>
        <w:bottom w:val="none" w:sz="0" w:space="0" w:color="auto"/>
        <w:right w:val="none" w:sz="0" w:space="0" w:color="auto"/>
      </w:divBdr>
    </w:div>
    <w:div w:id="614485628">
      <w:bodyDiv w:val="1"/>
      <w:marLeft w:val="0"/>
      <w:marRight w:val="0"/>
      <w:marTop w:val="0"/>
      <w:marBottom w:val="0"/>
      <w:divBdr>
        <w:top w:val="none" w:sz="0" w:space="0" w:color="auto"/>
        <w:left w:val="none" w:sz="0" w:space="0" w:color="auto"/>
        <w:bottom w:val="none" w:sz="0" w:space="0" w:color="auto"/>
        <w:right w:val="none" w:sz="0" w:space="0" w:color="auto"/>
      </w:divBdr>
    </w:div>
    <w:div w:id="634481643">
      <w:bodyDiv w:val="1"/>
      <w:marLeft w:val="0"/>
      <w:marRight w:val="0"/>
      <w:marTop w:val="0"/>
      <w:marBottom w:val="0"/>
      <w:divBdr>
        <w:top w:val="none" w:sz="0" w:space="0" w:color="auto"/>
        <w:left w:val="none" w:sz="0" w:space="0" w:color="auto"/>
        <w:bottom w:val="none" w:sz="0" w:space="0" w:color="auto"/>
        <w:right w:val="none" w:sz="0" w:space="0" w:color="auto"/>
      </w:divBdr>
    </w:div>
    <w:div w:id="636378341">
      <w:bodyDiv w:val="1"/>
      <w:marLeft w:val="0"/>
      <w:marRight w:val="0"/>
      <w:marTop w:val="0"/>
      <w:marBottom w:val="0"/>
      <w:divBdr>
        <w:top w:val="none" w:sz="0" w:space="0" w:color="auto"/>
        <w:left w:val="none" w:sz="0" w:space="0" w:color="auto"/>
        <w:bottom w:val="none" w:sz="0" w:space="0" w:color="auto"/>
        <w:right w:val="none" w:sz="0" w:space="0" w:color="auto"/>
      </w:divBdr>
    </w:div>
    <w:div w:id="643121802">
      <w:bodyDiv w:val="1"/>
      <w:marLeft w:val="0"/>
      <w:marRight w:val="0"/>
      <w:marTop w:val="0"/>
      <w:marBottom w:val="0"/>
      <w:divBdr>
        <w:top w:val="none" w:sz="0" w:space="0" w:color="auto"/>
        <w:left w:val="none" w:sz="0" w:space="0" w:color="auto"/>
        <w:bottom w:val="none" w:sz="0" w:space="0" w:color="auto"/>
        <w:right w:val="none" w:sz="0" w:space="0" w:color="auto"/>
      </w:divBdr>
    </w:div>
    <w:div w:id="645083659">
      <w:bodyDiv w:val="1"/>
      <w:marLeft w:val="0"/>
      <w:marRight w:val="0"/>
      <w:marTop w:val="0"/>
      <w:marBottom w:val="0"/>
      <w:divBdr>
        <w:top w:val="none" w:sz="0" w:space="0" w:color="auto"/>
        <w:left w:val="none" w:sz="0" w:space="0" w:color="auto"/>
        <w:bottom w:val="none" w:sz="0" w:space="0" w:color="auto"/>
        <w:right w:val="none" w:sz="0" w:space="0" w:color="auto"/>
      </w:divBdr>
    </w:div>
    <w:div w:id="663582042">
      <w:bodyDiv w:val="1"/>
      <w:marLeft w:val="0"/>
      <w:marRight w:val="0"/>
      <w:marTop w:val="0"/>
      <w:marBottom w:val="0"/>
      <w:divBdr>
        <w:top w:val="none" w:sz="0" w:space="0" w:color="auto"/>
        <w:left w:val="none" w:sz="0" w:space="0" w:color="auto"/>
        <w:bottom w:val="none" w:sz="0" w:space="0" w:color="auto"/>
        <w:right w:val="none" w:sz="0" w:space="0" w:color="auto"/>
      </w:divBdr>
    </w:div>
    <w:div w:id="678198598">
      <w:bodyDiv w:val="1"/>
      <w:marLeft w:val="0"/>
      <w:marRight w:val="0"/>
      <w:marTop w:val="0"/>
      <w:marBottom w:val="0"/>
      <w:divBdr>
        <w:top w:val="none" w:sz="0" w:space="0" w:color="auto"/>
        <w:left w:val="none" w:sz="0" w:space="0" w:color="auto"/>
        <w:bottom w:val="none" w:sz="0" w:space="0" w:color="auto"/>
        <w:right w:val="none" w:sz="0" w:space="0" w:color="auto"/>
      </w:divBdr>
      <w:divsChild>
        <w:div w:id="67773784">
          <w:marLeft w:val="346"/>
          <w:marRight w:val="0"/>
          <w:marTop w:val="60"/>
          <w:marBottom w:val="60"/>
          <w:divBdr>
            <w:top w:val="none" w:sz="0" w:space="0" w:color="auto"/>
            <w:left w:val="none" w:sz="0" w:space="0" w:color="auto"/>
            <w:bottom w:val="none" w:sz="0" w:space="0" w:color="auto"/>
            <w:right w:val="none" w:sz="0" w:space="0" w:color="auto"/>
          </w:divBdr>
        </w:div>
        <w:div w:id="1150945701">
          <w:marLeft w:val="346"/>
          <w:marRight w:val="0"/>
          <w:marTop w:val="60"/>
          <w:marBottom w:val="60"/>
          <w:divBdr>
            <w:top w:val="none" w:sz="0" w:space="0" w:color="auto"/>
            <w:left w:val="none" w:sz="0" w:space="0" w:color="auto"/>
            <w:bottom w:val="none" w:sz="0" w:space="0" w:color="auto"/>
            <w:right w:val="none" w:sz="0" w:space="0" w:color="auto"/>
          </w:divBdr>
        </w:div>
      </w:divsChild>
    </w:div>
    <w:div w:id="697269677">
      <w:bodyDiv w:val="1"/>
      <w:marLeft w:val="0"/>
      <w:marRight w:val="0"/>
      <w:marTop w:val="0"/>
      <w:marBottom w:val="0"/>
      <w:divBdr>
        <w:top w:val="none" w:sz="0" w:space="0" w:color="auto"/>
        <w:left w:val="none" w:sz="0" w:space="0" w:color="auto"/>
        <w:bottom w:val="none" w:sz="0" w:space="0" w:color="auto"/>
        <w:right w:val="none" w:sz="0" w:space="0" w:color="auto"/>
      </w:divBdr>
    </w:div>
    <w:div w:id="698044296">
      <w:bodyDiv w:val="1"/>
      <w:marLeft w:val="0"/>
      <w:marRight w:val="0"/>
      <w:marTop w:val="0"/>
      <w:marBottom w:val="0"/>
      <w:divBdr>
        <w:top w:val="none" w:sz="0" w:space="0" w:color="auto"/>
        <w:left w:val="none" w:sz="0" w:space="0" w:color="auto"/>
        <w:bottom w:val="none" w:sz="0" w:space="0" w:color="auto"/>
        <w:right w:val="none" w:sz="0" w:space="0" w:color="auto"/>
      </w:divBdr>
    </w:div>
    <w:div w:id="703138921">
      <w:bodyDiv w:val="1"/>
      <w:marLeft w:val="0"/>
      <w:marRight w:val="0"/>
      <w:marTop w:val="0"/>
      <w:marBottom w:val="0"/>
      <w:divBdr>
        <w:top w:val="none" w:sz="0" w:space="0" w:color="auto"/>
        <w:left w:val="none" w:sz="0" w:space="0" w:color="auto"/>
        <w:bottom w:val="none" w:sz="0" w:space="0" w:color="auto"/>
        <w:right w:val="none" w:sz="0" w:space="0" w:color="auto"/>
      </w:divBdr>
    </w:div>
    <w:div w:id="744644831">
      <w:bodyDiv w:val="1"/>
      <w:marLeft w:val="0"/>
      <w:marRight w:val="0"/>
      <w:marTop w:val="0"/>
      <w:marBottom w:val="0"/>
      <w:divBdr>
        <w:top w:val="none" w:sz="0" w:space="0" w:color="auto"/>
        <w:left w:val="none" w:sz="0" w:space="0" w:color="auto"/>
        <w:bottom w:val="none" w:sz="0" w:space="0" w:color="auto"/>
        <w:right w:val="none" w:sz="0" w:space="0" w:color="auto"/>
      </w:divBdr>
      <w:divsChild>
        <w:div w:id="411900668">
          <w:marLeft w:val="1166"/>
          <w:marRight w:val="0"/>
          <w:marTop w:val="360"/>
          <w:marBottom w:val="0"/>
          <w:divBdr>
            <w:top w:val="none" w:sz="0" w:space="0" w:color="auto"/>
            <w:left w:val="none" w:sz="0" w:space="0" w:color="auto"/>
            <w:bottom w:val="none" w:sz="0" w:space="0" w:color="auto"/>
            <w:right w:val="none" w:sz="0" w:space="0" w:color="auto"/>
          </w:divBdr>
        </w:div>
        <w:div w:id="1049036852">
          <w:marLeft w:val="1166"/>
          <w:marRight w:val="0"/>
          <w:marTop w:val="360"/>
          <w:marBottom w:val="0"/>
          <w:divBdr>
            <w:top w:val="none" w:sz="0" w:space="0" w:color="auto"/>
            <w:left w:val="none" w:sz="0" w:space="0" w:color="auto"/>
            <w:bottom w:val="none" w:sz="0" w:space="0" w:color="auto"/>
            <w:right w:val="none" w:sz="0" w:space="0" w:color="auto"/>
          </w:divBdr>
        </w:div>
        <w:div w:id="1144276421">
          <w:marLeft w:val="446"/>
          <w:marRight w:val="0"/>
          <w:marTop w:val="86"/>
          <w:marBottom w:val="0"/>
          <w:divBdr>
            <w:top w:val="none" w:sz="0" w:space="0" w:color="auto"/>
            <w:left w:val="none" w:sz="0" w:space="0" w:color="auto"/>
            <w:bottom w:val="none" w:sz="0" w:space="0" w:color="auto"/>
            <w:right w:val="none" w:sz="0" w:space="0" w:color="auto"/>
          </w:divBdr>
        </w:div>
        <w:div w:id="1627587867">
          <w:marLeft w:val="1166"/>
          <w:marRight w:val="0"/>
          <w:marTop w:val="360"/>
          <w:marBottom w:val="0"/>
          <w:divBdr>
            <w:top w:val="none" w:sz="0" w:space="0" w:color="auto"/>
            <w:left w:val="none" w:sz="0" w:space="0" w:color="auto"/>
            <w:bottom w:val="none" w:sz="0" w:space="0" w:color="auto"/>
            <w:right w:val="none" w:sz="0" w:space="0" w:color="auto"/>
          </w:divBdr>
        </w:div>
        <w:div w:id="1661735537">
          <w:marLeft w:val="446"/>
          <w:marRight w:val="0"/>
          <w:marTop w:val="360"/>
          <w:marBottom w:val="0"/>
          <w:divBdr>
            <w:top w:val="none" w:sz="0" w:space="0" w:color="auto"/>
            <w:left w:val="none" w:sz="0" w:space="0" w:color="auto"/>
            <w:bottom w:val="none" w:sz="0" w:space="0" w:color="auto"/>
            <w:right w:val="none" w:sz="0" w:space="0" w:color="auto"/>
          </w:divBdr>
        </w:div>
      </w:divsChild>
    </w:div>
    <w:div w:id="751658593">
      <w:bodyDiv w:val="1"/>
      <w:marLeft w:val="0"/>
      <w:marRight w:val="0"/>
      <w:marTop w:val="0"/>
      <w:marBottom w:val="0"/>
      <w:divBdr>
        <w:top w:val="none" w:sz="0" w:space="0" w:color="auto"/>
        <w:left w:val="none" w:sz="0" w:space="0" w:color="auto"/>
        <w:bottom w:val="none" w:sz="0" w:space="0" w:color="auto"/>
        <w:right w:val="none" w:sz="0" w:space="0" w:color="auto"/>
      </w:divBdr>
    </w:div>
    <w:div w:id="755053642">
      <w:bodyDiv w:val="1"/>
      <w:marLeft w:val="0"/>
      <w:marRight w:val="0"/>
      <w:marTop w:val="0"/>
      <w:marBottom w:val="0"/>
      <w:divBdr>
        <w:top w:val="none" w:sz="0" w:space="0" w:color="auto"/>
        <w:left w:val="none" w:sz="0" w:space="0" w:color="auto"/>
        <w:bottom w:val="none" w:sz="0" w:space="0" w:color="auto"/>
        <w:right w:val="none" w:sz="0" w:space="0" w:color="auto"/>
      </w:divBdr>
    </w:div>
    <w:div w:id="772700848">
      <w:bodyDiv w:val="1"/>
      <w:marLeft w:val="0"/>
      <w:marRight w:val="0"/>
      <w:marTop w:val="0"/>
      <w:marBottom w:val="0"/>
      <w:divBdr>
        <w:top w:val="none" w:sz="0" w:space="0" w:color="auto"/>
        <w:left w:val="none" w:sz="0" w:space="0" w:color="auto"/>
        <w:bottom w:val="none" w:sz="0" w:space="0" w:color="auto"/>
        <w:right w:val="none" w:sz="0" w:space="0" w:color="auto"/>
      </w:divBdr>
      <w:divsChild>
        <w:div w:id="299500640">
          <w:marLeft w:val="1166"/>
          <w:marRight w:val="0"/>
          <w:marTop w:val="360"/>
          <w:marBottom w:val="0"/>
          <w:divBdr>
            <w:top w:val="none" w:sz="0" w:space="0" w:color="auto"/>
            <w:left w:val="none" w:sz="0" w:space="0" w:color="auto"/>
            <w:bottom w:val="none" w:sz="0" w:space="0" w:color="auto"/>
            <w:right w:val="none" w:sz="0" w:space="0" w:color="auto"/>
          </w:divBdr>
        </w:div>
        <w:div w:id="1325473975">
          <w:marLeft w:val="1166"/>
          <w:marRight w:val="0"/>
          <w:marTop w:val="360"/>
          <w:marBottom w:val="0"/>
          <w:divBdr>
            <w:top w:val="none" w:sz="0" w:space="0" w:color="auto"/>
            <w:left w:val="none" w:sz="0" w:space="0" w:color="auto"/>
            <w:bottom w:val="none" w:sz="0" w:space="0" w:color="auto"/>
            <w:right w:val="none" w:sz="0" w:space="0" w:color="auto"/>
          </w:divBdr>
        </w:div>
      </w:divsChild>
    </w:div>
    <w:div w:id="798887192">
      <w:bodyDiv w:val="1"/>
      <w:marLeft w:val="0"/>
      <w:marRight w:val="0"/>
      <w:marTop w:val="0"/>
      <w:marBottom w:val="0"/>
      <w:divBdr>
        <w:top w:val="none" w:sz="0" w:space="0" w:color="auto"/>
        <w:left w:val="none" w:sz="0" w:space="0" w:color="auto"/>
        <w:bottom w:val="none" w:sz="0" w:space="0" w:color="auto"/>
        <w:right w:val="none" w:sz="0" w:space="0" w:color="auto"/>
      </w:divBdr>
    </w:div>
    <w:div w:id="823620436">
      <w:bodyDiv w:val="1"/>
      <w:marLeft w:val="0"/>
      <w:marRight w:val="0"/>
      <w:marTop w:val="0"/>
      <w:marBottom w:val="0"/>
      <w:divBdr>
        <w:top w:val="none" w:sz="0" w:space="0" w:color="auto"/>
        <w:left w:val="none" w:sz="0" w:space="0" w:color="auto"/>
        <w:bottom w:val="none" w:sz="0" w:space="0" w:color="auto"/>
        <w:right w:val="none" w:sz="0" w:space="0" w:color="auto"/>
      </w:divBdr>
    </w:div>
    <w:div w:id="831801048">
      <w:bodyDiv w:val="1"/>
      <w:marLeft w:val="0"/>
      <w:marRight w:val="0"/>
      <w:marTop w:val="0"/>
      <w:marBottom w:val="0"/>
      <w:divBdr>
        <w:top w:val="none" w:sz="0" w:space="0" w:color="auto"/>
        <w:left w:val="none" w:sz="0" w:space="0" w:color="auto"/>
        <w:bottom w:val="none" w:sz="0" w:space="0" w:color="auto"/>
        <w:right w:val="none" w:sz="0" w:space="0" w:color="auto"/>
      </w:divBdr>
      <w:divsChild>
        <w:div w:id="194850121">
          <w:marLeft w:val="547"/>
          <w:marRight w:val="0"/>
          <w:marTop w:val="120"/>
          <w:marBottom w:val="120"/>
          <w:divBdr>
            <w:top w:val="none" w:sz="0" w:space="0" w:color="auto"/>
            <w:left w:val="none" w:sz="0" w:space="0" w:color="auto"/>
            <w:bottom w:val="none" w:sz="0" w:space="0" w:color="auto"/>
            <w:right w:val="none" w:sz="0" w:space="0" w:color="auto"/>
          </w:divBdr>
        </w:div>
        <w:div w:id="1187403697">
          <w:marLeft w:val="547"/>
          <w:marRight w:val="0"/>
          <w:marTop w:val="120"/>
          <w:marBottom w:val="120"/>
          <w:divBdr>
            <w:top w:val="none" w:sz="0" w:space="0" w:color="auto"/>
            <w:left w:val="none" w:sz="0" w:space="0" w:color="auto"/>
            <w:bottom w:val="none" w:sz="0" w:space="0" w:color="auto"/>
            <w:right w:val="none" w:sz="0" w:space="0" w:color="auto"/>
          </w:divBdr>
        </w:div>
      </w:divsChild>
    </w:div>
    <w:div w:id="834884011">
      <w:bodyDiv w:val="1"/>
      <w:marLeft w:val="0"/>
      <w:marRight w:val="0"/>
      <w:marTop w:val="0"/>
      <w:marBottom w:val="0"/>
      <w:divBdr>
        <w:top w:val="none" w:sz="0" w:space="0" w:color="auto"/>
        <w:left w:val="none" w:sz="0" w:space="0" w:color="auto"/>
        <w:bottom w:val="none" w:sz="0" w:space="0" w:color="auto"/>
        <w:right w:val="none" w:sz="0" w:space="0" w:color="auto"/>
      </w:divBdr>
    </w:div>
    <w:div w:id="835388568">
      <w:bodyDiv w:val="1"/>
      <w:marLeft w:val="0"/>
      <w:marRight w:val="0"/>
      <w:marTop w:val="0"/>
      <w:marBottom w:val="0"/>
      <w:divBdr>
        <w:top w:val="none" w:sz="0" w:space="0" w:color="auto"/>
        <w:left w:val="none" w:sz="0" w:space="0" w:color="auto"/>
        <w:bottom w:val="none" w:sz="0" w:space="0" w:color="auto"/>
        <w:right w:val="none" w:sz="0" w:space="0" w:color="auto"/>
      </w:divBdr>
    </w:div>
    <w:div w:id="859008835">
      <w:bodyDiv w:val="1"/>
      <w:marLeft w:val="0"/>
      <w:marRight w:val="0"/>
      <w:marTop w:val="0"/>
      <w:marBottom w:val="0"/>
      <w:divBdr>
        <w:top w:val="none" w:sz="0" w:space="0" w:color="auto"/>
        <w:left w:val="none" w:sz="0" w:space="0" w:color="auto"/>
        <w:bottom w:val="none" w:sz="0" w:space="0" w:color="auto"/>
        <w:right w:val="none" w:sz="0" w:space="0" w:color="auto"/>
      </w:divBdr>
    </w:div>
    <w:div w:id="873614429">
      <w:bodyDiv w:val="1"/>
      <w:marLeft w:val="0"/>
      <w:marRight w:val="0"/>
      <w:marTop w:val="0"/>
      <w:marBottom w:val="0"/>
      <w:divBdr>
        <w:top w:val="none" w:sz="0" w:space="0" w:color="auto"/>
        <w:left w:val="none" w:sz="0" w:space="0" w:color="auto"/>
        <w:bottom w:val="none" w:sz="0" w:space="0" w:color="auto"/>
        <w:right w:val="none" w:sz="0" w:space="0" w:color="auto"/>
      </w:divBdr>
    </w:div>
    <w:div w:id="873926645">
      <w:bodyDiv w:val="1"/>
      <w:marLeft w:val="0"/>
      <w:marRight w:val="0"/>
      <w:marTop w:val="0"/>
      <w:marBottom w:val="0"/>
      <w:divBdr>
        <w:top w:val="none" w:sz="0" w:space="0" w:color="auto"/>
        <w:left w:val="none" w:sz="0" w:space="0" w:color="auto"/>
        <w:bottom w:val="none" w:sz="0" w:space="0" w:color="auto"/>
        <w:right w:val="none" w:sz="0" w:space="0" w:color="auto"/>
      </w:divBdr>
      <w:divsChild>
        <w:div w:id="1368723355">
          <w:marLeft w:val="346"/>
          <w:marRight w:val="0"/>
          <w:marTop w:val="60"/>
          <w:marBottom w:val="60"/>
          <w:divBdr>
            <w:top w:val="none" w:sz="0" w:space="0" w:color="auto"/>
            <w:left w:val="none" w:sz="0" w:space="0" w:color="auto"/>
            <w:bottom w:val="none" w:sz="0" w:space="0" w:color="auto"/>
            <w:right w:val="none" w:sz="0" w:space="0" w:color="auto"/>
          </w:divBdr>
        </w:div>
        <w:div w:id="1856573064">
          <w:marLeft w:val="346"/>
          <w:marRight w:val="0"/>
          <w:marTop w:val="60"/>
          <w:marBottom w:val="60"/>
          <w:divBdr>
            <w:top w:val="none" w:sz="0" w:space="0" w:color="auto"/>
            <w:left w:val="none" w:sz="0" w:space="0" w:color="auto"/>
            <w:bottom w:val="none" w:sz="0" w:space="0" w:color="auto"/>
            <w:right w:val="none" w:sz="0" w:space="0" w:color="auto"/>
          </w:divBdr>
        </w:div>
        <w:div w:id="2135707058">
          <w:marLeft w:val="346"/>
          <w:marRight w:val="0"/>
          <w:marTop w:val="60"/>
          <w:marBottom w:val="60"/>
          <w:divBdr>
            <w:top w:val="none" w:sz="0" w:space="0" w:color="auto"/>
            <w:left w:val="none" w:sz="0" w:space="0" w:color="auto"/>
            <w:bottom w:val="none" w:sz="0" w:space="0" w:color="auto"/>
            <w:right w:val="none" w:sz="0" w:space="0" w:color="auto"/>
          </w:divBdr>
        </w:div>
      </w:divsChild>
    </w:div>
    <w:div w:id="937106455">
      <w:bodyDiv w:val="1"/>
      <w:marLeft w:val="0"/>
      <w:marRight w:val="0"/>
      <w:marTop w:val="0"/>
      <w:marBottom w:val="0"/>
      <w:divBdr>
        <w:top w:val="none" w:sz="0" w:space="0" w:color="auto"/>
        <w:left w:val="none" w:sz="0" w:space="0" w:color="auto"/>
        <w:bottom w:val="none" w:sz="0" w:space="0" w:color="auto"/>
        <w:right w:val="none" w:sz="0" w:space="0" w:color="auto"/>
      </w:divBdr>
    </w:div>
    <w:div w:id="939215286">
      <w:bodyDiv w:val="1"/>
      <w:marLeft w:val="0"/>
      <w:marRight w:val="0"/>
      <w:marTop w:val="0"/>
      <w:marBottom w:val="0"/>
      <w:divBdr>
        <w:top w:val="none" w:sz="0" w:space="0" w:color="auto"/>
        <w:left w:val="none" w:sz="0" w:space="0" w:color="auto"/>
        <w:bottom w:val="none" w:sz="0" w:space="0" w:color="auto"/>
        <w:right w:val="none" w:sz="0" w:space="0" w:color="auto"/>
      </w:divBdr>
    </w:div>
    <w:div w:id="948851742">
      <w:bodyDiv w:val="1"/>
      <w:marLeft w:val="0"/>
      <w:marRight w:val="0"/>
      <w:marTop w:val="0"/>
      <w:marBottom w:val="0"/>
      <w:divBdr>
        <w:top w:val="none" w:sz="0" w:space="0" w:color="auto"/>
        <w:left w:val="none" w:sz="0" w:space="0" w:color="auto"/>
        <w:bottom w:val="none" w:sz="0" w:space="0" w:color="auto"/>
        <w:right w:val="none" w:sz="0" w:space="0" w:color="auto"/>
      </w:divBdr>
    </w:div>
    <w:div w:id="960262926">
      <w:bodyDiv w:val="1"/>
      <w:marLeft w:val="0"/>
      <w:marRight w:val="0"/>
      <w:marTop w:val="0"/>
      <w:marBottom w:val="0"/>
      <w:divBdr>
        <w:top w:val="none" w:sz="0" w:space="0" w:color="auto"/>
        <w:left w:val="none" w:sz="0" w:space="0" w:color="auto"/>
        <w:bottom w:val="none" w:sz="0" w:space="0" w:color="auto"/>
        <w:right w:val="none" w:sz="0" w:space="0" w:color="auto"/>
      </w:divBdr>
    </w:div>
    <w:div w:id="1020013367">
      <w:bodyDiv w:val="1"/>
      <w:marLeft w:val="0"/>
      <w:marRight w:val="0"/>
      <w:marTop w:val="0"/>
      <w:marBottom w:val="0"/>
      <w:divBdr>
        <w:top w:val="none" w:sz="0" w:space="0" w:color="auto"/>
        <w:left w:val="none" w:sz="0" w:space="0" w:color="auto"/>
        <w:bottom w:val="none" w:sz="0" w:space="0" w:color="auto"/>
        <w:right w:val="none" w:sz="0" w:space="0" w:color="auto"/>
      </w:divBdr>
    </w:div>
    <w:div w:id="1020738161">
      <w:bodyDiv w:val="1"/>
      <w:marLeft w:val="0"/>
      <w:marRight w:val="0"/>
      <w:marTop w:val="0"/>
      <w:marBottom w:val="0"/>
      <w:divBdr>
        <w:top w:val="none" w:sz="0" w:space="0" w:color="auto"/>
        <w:left w:val="none" w:sz="0" w:space="0" w:color="auto"/>
        <w:bottom w:val="none" w:sz="0" w:space="0" w:color="auto"/>
        <w:right w:val="none" w:sz="0" w:space="0" w:color="auto"/>
      </w:divBdr>
    </w:div>
    <w:div w:id="1033922817">
      <w:bodyDiv w:val="1"/>
      <w:marLeft w:val="0"/>
      <w:marRight w:val="0"/>
      <w:marTop w:val="0"/>
      <w:marBottom w:val="0"/>
      <w:divBdr>
        <w:top w:val="none" w:sz="0" w:space="0" w:color="auto"/>
        <w:left w:val="none" w:sz="0" w:space="0" w:color="auto"/>
        <w:bottom w:val="none" w:sz="0" w:space="0" w:color="auto"/>
        <w:right w:val="none" w:sz="0" w:space="0" w:color="auto"/>
      </w:divBdr>
    </w:div>
    <w:div w:id="1071348829">
      <w:bodyDiv w:val="1"/>
      <w:marLeft w:val="0"/>
      <w:marRight w:val="0"/>
      <w:marTop w:val="0"/>
      <w:marBottom w:val="0"/>
      <w:divBdr>
        <w:top w:val="none" w:sz="0" w:space="0" w:color="auto"/>
        <w:left w:val="none" w:sz="0" w:space="0" w:color="auto"/>
        <w:bottom w:val="none" w:sz="0" w:space="0" w:color="auto"/>
        <w:right w:val="none" w:sz="0" w:space="0" w:color="auto"/>
      </w:divBdr>
    </w:div>
    <w:div w:id="1072509139">
      <w:bodyDiv w:val="1"/>
      <w:marLeft w:val="0"/>
      <w:marRight w:val="0"/>
      <w:marTop w:val="0"/>
      <w:marBottom w:val="0"/>
      <w:divBdr>
        <w:top w:val="none" w:sz="0" w:space="0" w:color="auto"/>
        <w:left w:val="none" w:sz="0" w:space="0" w:color="auto"/>
        <w:bottom w:val="none" w:sz="0" w:space="0" w:color="auto"/>
        <w:right w:val="none" w:sz="0" w:space="0" w:color="auto"/>
      </w:divBdr>
    </w:div>
    <w:div w:id="1075129477">
      <w:bodyDiv w:val="1"/>
      <w:marLeft w:val="0"/>
      <w:marRight w:val="0"/>
      <w:marTop w:val="0"/>
      <w:marBottom w:val="0"/>
      <w:divBdr>
        <w:top w:val="none" w:sz="0" w:space="0" w:color="auto"/>
        <w:left w:val="none" w:sz="0" w:space="0" w:color="auto"/>
        <w:bottom w:val="none" w:sz="0" w:space="0" w:color="auto"/>
        <w:right w:val="none" w:sz="0" w:space="0" w:color="auto"/>
      </w:divBdr>
    </w:div>
    <w:div w:id="1116752646">
      <w:bodyDiv w:val="1"/>
      <w:marLeft w:val="0"/>
      <w:marRight w:val="0"/>
      <w:marTop w:val="0"/>
      <w:marBottom w:val="0"/>
      <w:divBdr>
        <w:top w:val="none" w:sz="0" w:space="0" w:color="auto"/>
        <w:left w:val="none" w:sz="0" w:space="0" w:color="auto"/>
        <w:bottom w:val="none" w:sz="0" w:space="0" w:color="auto"/>
        <w:right w:val="none" w:sz="0" w:space="0" w:color="auto"/>
      </w:divBdr>
    </w:div>
    <w:div w:id="1145732621">
      <w:bodyDiv w:val="1"/>
      <w:marLeft w:val="0"/>
      <w:marRight w:val="0"/>
      <w:marTop w:val="0"/>
      <w:marBottom w:val="0"/>
      <w:divBdr>
        <w:top w:val="none" w:sz="0" w:space="0" w:color="auto"/>
        <w:left w:val="none" w:sz="0" w:space="0" w:color="auto"/>
        <w:bottom w:val="none" w:sz="0" w:space="0" w:color="auto"/>
        <w:right w:val="none" w:sz="0" w:space="0" w:color="auto"/>
      </w:divBdr>
    </w:div>
    <w:div w:id="1151361836">
      <w:bodyDiv w:val="1"/>
      <w:marLeft w:val="0"/>
      <w:marRight w:val="0"/>
      <w:marTop w:val="0"/>
      <w:marBottom w:val="0"/>
      <w:divBdr>
        <w:top w:val="none" w:sz="0" w:space="0" w:color="auto"/>
        <w:left w:val="none" w:sz="0" w:space="0" w:color="auto"/>
        <w:bottom w:val="none" w:sz="0" w:space="0" w:color="auto"/>
        <w:right w:val="none" w:sz="0" w:space="0" w:color="auto"/>
      </w:divBdr>
    </w:div>
    <w:div w:id="1153526974">
      <w:bodyDiv w:val="1"/>
      <w:marLeft w:val="0"/>
      <w:marRight w:val="0"/>
      <w:marTop w:val="0"/>
      <w:marBottom w:val="0"/>
      <w:divBdr>
        <w:top w:val="none" w:sz="0" w:space="0" w:color="auto"/>
        <w:left w:val="none" w:sz="0" w:space="0" w:color="auto"/>
        <w:bottom w:val="none" w:sz="0" w:space="0" w:color="auto"/>
        <w:right w:val="none" w:sz="0" w:space="0" w:color="auto"/>
      </w:divBdr>
      <w:divsChild>
        <w:div w:id="15235405">
          <w:marLeft w:val="547"/>
          <w:marRight w:val="0"/>
          <w:marTop w:val="0"/>
          <w:marBottom w:val="0"/>
          <w:divBdr>
            <w:top w:val="none" w:sz="0" w:space="0" w:color="auto"/>
            <w:left w:val="none" w:sz="0" w:space="0" w:color="auto"/>
            <w:bottom w:val="none" w:sz="0" w:space="0" w:color="auto"/>
            <w:right w:val="none" w:sz="0" w:space="0" w:color="auto"/>
          </w:divBdr>
        </w:div>
        <w:div w:id="80300113">
          <w:marLeft w:val="547"/>
          <w:marRight w:val="0"/>
          <w:marTop w:val="0"/>
          <w:marBottom w:val="0"/>
          <w:divBdr>
            <w:top w:val="none" w:sz="0" w:space="0" w:color="auto"/>
            <w:left w:val="none" w:sz="0" w:space="0" w:color="auto"/>
            <w:bottom w:val="none" w:sz="0" w:space="0" w:color="auto"/>
            <w:right w:val="none" w:sz="0" w:space="0" w:color="auto"/>
          </w:divBdr>
        </w:div>
        <w:div w:id="210271832">
          <w:marLeft w:val="547"/>
          <w:marRight w:val="0"/>
          <w:marTop w:val="0"/>
          <w:marBottom w:val="0"/>
          <w:divBdr>
            <w:top w:val="none" w:sz="0" w:space="0" w:color="auto"/>
            <w:left w:val="none" w:sz="0" w:space="0" w:color="auto"/>
            <w:bottom w:val="none" w:sz="0" w:space="0" w:color="auto"/>
            <w:right w:val="none" w:sz="0" w:space="0" w:color="auto"/>
          </w:divBdr>
        </w:div>
        <w:div w:id="217860385">
          <w:marLeft w:val="547"/>
          <w:marRight w:val="0"/>
          <w:marTop w:val="0"/>
          <w:marBottom w:val="0"/>
          <w:divBdr>
            <w:top w:val="none" w:sz="0" w:space="0" w:color="auto"/>
            <w:left w:val="none" w:sz="0" w:space="0" w:color="auto"/>
            <w:bottom w:val="none" w:sz="0" w:space="0" w:color="auto"/>
            <w:right w:val="none" w:sz="0" w:space="0" w:color="auto"/>
          </w:divBdr>
        </w:div>
        <w:div w:id="221722209">
          <w:marLeft w:val="547"/>
          <w:marRight w:val="0"/>
          <w:marTop w:val="0"/>
          <w:marBottom w:val="0"/>
          <w:divBdr>
            <w:top w:val="none" w:sz="0" w:space="0" w:color="auto"/>
            <w:left w:val="none" w:sz="0" w:space="0" w:color="auto"/>
            <w:bottom w:val="none" w:sz="0" w:space="0" w:color="auto"/>
            <w:right w:val="none" w:sz="0" w:space="0" w:color="auto"/>
          </w:divBdr>
        </w:div>
        <w:div w:id="327680413">
          <w:marLeft w:val="547"/>
          <w:marRight w:val="0"/>
          <w:marTop w:val="0"/>
          <w:marBottom w:val="0"/>
          <w:divBdr>
            <w:top w:val="none" w:sz="0" w:space="0" w:color="auto"/>
            <w:left w:val="none" w:sz="0" w:space="0" w:color="auto"/>
            <w:bottom w:val="none" w:sz="0" w:space="0" w:color="auto"/>
            <w:right w:val="none" w:sz="0" w:space="0" w:color="auto"/>
          </w:divBdr>
        </w:div>
        <w:div w:id="387657074">
          <w:marLeft w:val="547"/>
          <w:marRight w:val="0"/>
          <w:marTop w:val="0"/>
          <w:marBottom w:val="0"/>
          <w:divBdr>
            <w:top w:val="none" w:sz="0" w:space="0" w:color="auto"/>
            <w:left w:val="none" w:sz="0" w:space="0" w:color="auto"/>
            <w:bottom w:val="none" w:sz="0" w:space="0" w:color="auto"/>
            <w:right w:val="none" w:sz="0" w:space="0" w:color="auto"/>
          </w:divBdr>
        </w:div>
        <w:div w:id="527136201">
          <w:marLeft w:val="547"/>
          <w:marRight w:val="0"/>
          <w:marTop w:val="0"/>
          <w:marBottom w:val="0"/>
          <w:divBdr>
            <w:top w:val="none" w:sz="0" w:space="0" w:color="auto"/>
            <w:left w:val="none" w:sz="0" w:space="0" w:color="auto"/>
            <w:bottom w:val="none" w:sz="0" w:space="0" w:color="auto"/>
            <w:right w:val="none" w:sz="0" w:space="0" w:color="auto"/>
          </w:divBdr>
        </w:div>
        <w:div w:id="563297561">
          <w:marLeft w:val="547"/>
          <w:marRight w:val="0"/>
          <w:marTop w:val="0"/>
          <w:marBottom w:val="0"/>
          <w:divBdr>
            <w:top w:val="none" w:sz="0" w:space="0" w:color="auto"/>
            <w:left w:val="none" w:sz="0" w:space="0" w:color="auto"/>
            <w:bottom w:val="none" w:sz="0" w:space="0" w:color="auto"/>
            <w:right w:val="none" w:sz="0" w:space="0" w:color="auto"/>
          </w:divBdr>
        </w:div>
        <w:div w:id="615412425">
          <w:marLeft w:val="547"/>
          <w:marRight w:val="0"/>
          <w:marTop w:val="0"/>
          <w:marBottom w:val="0"/>
          <w:divBdr>
            <w:top w:val="none" w:sz="0" w:space="0" w:color="auto"/>
            <w:left w:val="none" w:sz="0" w:space="0" w:color="auto"/>
            <w:bottom w:val="none" w:sz="0" w:space="0" w:color="auto"/>
            <w:right w:val="none" w:sz="0" w:space="0" w:color="auto"/>
          </w:divBdr>
        </w:div>
        <w:div w:id="690379709">
          <w:marLeft w:val="547"/>
          <w:marRight w:val="0"/>
          <w:marTop w:val="0"/>
          <w:marBottom w:val="0"/>
          <w:divBdr>
            <w:top w:val="none" w:sz="0" w:space="0" w:color="auto"/>
            <w:left w:val="none" w:sz="0" w:space="0" w:color="auto"/>
            <w:bottom w:val="none" w:sz="0" w:space="0" w:color="auto"/>
            <w:right w:val="none" w:sz="0" w:space="0" w:color="auto"/>
          </w:divBdr>
        </w:div>
        <w:div w:id="954754877">
          <w:marLeft w:val="547"/>
          <w:marRight w:val="0"/>
          <w:marTop w:val="0"/>
          <w:marBottom w:val="0"/>
          <w:divBdr>
            <w:top w:val="none" w:sz="0" w:space="0" w:color="auto"/>
            <w:left w:val="none" w:sz="0" w:space="0" w:color="auto"/>
            <w:bottom w:val="none" w:sz="0" w:space="0" w:color="auto"/>
            <w:right w:val="none" w:sz="0" w:space="0" w:color="auto"/>
          </w:divBdr>
        </w:div>
        <w:div w:id="963998144">
          <w:marLeft w:val="547"/>
          <w:marRight w:val="0"/>
          <w:marTop w:val="0"/>
          <w:marBottom w:val="0"/>
          <w:divBdr>
            <w:top w:val="none" w:sz="0" w:space="0" w:color="auto"/>
            <w:left w:val="none" w:sz="0" w:space="0" w:color="auto"/>
            <w:bottom w:val="none" w:sz="0" w:space="0" w:color="auto"/>
            <w:right w:val="none" w:sz="0" w:space="0" w:color="auto"/>
          </w:divBdr>
        </w:div>
        <w:div w:id="1295522669">
          <w:marLeft w:val="547"/>
          <w:marRight w:val="0"/>
          <w:marTop w:val="0"/>
          <w:marBottom w:val="0"/>
          <w:divBdr>
            <w:top w:val="none" w:sz="0" w:space="0" w:color="auto"/>
            <w:left w:val="none" w:sz="0" w:space="0" w:color="auto"/>
            <w:bottom w:val="none" w:sz="0" w:space="0" w:color="auto"/>
            <w:right w:val="none" w:sz="0" w:space="0" w:color="auto"/>
          </w:divBdr>
        </w:div>
        <w:div w:id="1341472196">
          <w:marLeft w:val="547"/>
          <w:marRight w:val="0"/>
          <w:marTop w:val="0"/>
          <w:marBottom w:val="0"/>
          <w:divBdr>
            <w:top w:val="none" w:sz="0" w:space="0" w:color="auto"/>
            <w:left w:val="none" w:sz="0" w:space="0" w:color="auto"/>
            <w:bottom w:val="none" w:sz="0" w:space="0" w:color="auto"/>
            <w:right w:val="none" w:sz="0" w:space="0" w:color="auto"/>
          </w:divBdr>
        </w:div>
        <w:div w:id="1670868085">
          <w:marLeft w:val="547"/>
          <w:marRight w:val="0"/>
          <w:marTop w:val="0"/>
          <w:marBottom w:val="0"/>
          <w:divBdr>
            <w:top w:val="none" w:sz="0" w:space="0" w:color="auto"/>
            <w:left w:val="none" w:sz="0" w:space="0" w:color="auto"/>
            <w:bottom w:val="none" w:sz="0" w:space="0" w:color="auto"/>
            <w:right w:val="none" w:sz="0" w:space="0" w:color="auto"/>
          </w:divBdr>
        </w:div>
        <w:div w:id="1685546651">
          <w:marLeft w:val="547"/>
          <w:marRight w:val="0"/>
          <w:marTop w:val="0"/>
          <w:marBottom w:val="0"/>
          <w:divBdr>
            <w:top w:val="none" w:sz="0" w:space="0" w:color="auto"/>
            <w:left w:val="none" w:sz="0" w:space="0" w:color="auto"/>
            <w:bottom w:val="none" w:sz="0" w:space="0" w:color="auto"/>
            <w:right w:val="none" w:sz="0" w:space="0" w:color="auto"/>
          </w:divBdr>
        </w:div>
        <w:div w:id="1810244709">
          <w:marLeft w:val="547"/>
          <w:marRight w:val="0"/>
          <w:marTop w:val="0"/>
          <w:marBottom w:val="0"/>
          <w:divBdr>
            <w:top w:val="none" w:sz="0" w:space="0" w:color="auto"/>
            <w:left w:val="none" w:sz="0" w:space="0" w:color="auto"/>
            <w:bottom w:val="none" w:sz="0" w:space="0" w:color="auto"/>
            <w:right w:val="none" w:sz="0" w:space="0" w:color="auto"/>
          </w:divBdr>
        </w:div>
        <w:div w:id="1874075798">
          <w:marLeft w:val="547"/>
          <w:marRight w:val="0"/>
          <w:marTop w:val="0"/>
          <w:marBottom w:val="0"/>
          <w:divBdr>
            <w:top w:val="none" w:sz="0" w:space="0" w:color="auto"/>
            <w:left w:val="none" w:sz="0" w:space="0" w:color="auto"/>
            <w:bottom w:val="none" w:sz="0" w:space="0" w:color="auto"/>
            <w:right w:val="none" w:sz="0" w:space="0" w:color="auto"/>
          </w:divBdr>
        </w:div>
        <w:div w:id="1921207173">
          <w:marLeft w:val="547"/>
          <w:marRight w:val="0"/>
          <w:marTop w:val="0"/>
          <w:marBottom w:val="0"/>
          <w:divBdr>
            <w:top w:val="none" w:sz="0" w:space="0" w:color="auto"/>
            <w:left w:val="none" w:sz="0" w:space="0" w:color="auto"/>
            <w:bottom w:val="none" w:sz="0" w:space="0" w:color="auto"/>
            <w:right w:val="none" w:sz="0" w:space="0" w:color="auto"/>
          </w:divBdr>
        </w:div>
        <w:div w:id="2103142504">
          <w:marLeft w:val="547"/>
          <w:marRight w:val="0"/>
          <w:marTop w:val="0"/>
          <w:marBottom w:val="0"/>
          <w:divBdr>
            <w:top w:val="none" w:sz="0" w:space="0" w:color="auto"/>
            <w:left w:val="none" w:sz="0" w:space="0" w:color="auto"/>
            <w:bottom w:val="none" w:sz="0" w:space="0" w:color="auto"/>
            <w:right w:val="none" w:sz="0" w:space="0" w:color="auto"/>
          </w:divBdr>
        </w:div>
      </w:divsChild>
    </w:div>
    <w:div w:id="1156651914">
      <w:bodyDiv w:val="1"/>
      <w:marLeft w:val="0"/>
      <w:marRight w:val="0"/>
      <w:marTop w:val="0"/>
      <w:marBottom w:val="0"/>
      <w:divBdr>
        <w:top w:val="none" w:sz="0" w:space="0" w:color="auto"/>
        <w:left w:val="none" w:sz="0" w:space="0" w:color="auto"/>
        <w:bottom w:val="none" w:sz="0" w:space="0" w:color="auto"/>
        <w:right w:val="none" w:sz="0" w:space="0" w:color="auto"/>
      </w:divBdr>
    </w:div>
    <w:div w:id="1164661731">
      <w:bodyDiv w:val="1"/>
      <w:marLeft w:val="0"/>
      <w:marRight w:val="0"/>
      <w:marTop w:val="0"/>
      <w:marBottom w:val="0"/>
      <w:divBdr>
        <w:top w:val="none" w:sz="0" w:space="0" w:color="auto"/>
        <w:left w:val="none" w:sz="0" w:space="0" w:color="auto"/>
        <w:bottom w:val="none" w:sz="0" w:space="0" w:color="auto"/>
        <w:right w:val="none" w:sz="0" w:space="0" w:color="auto"/>
      </w:divBdr>
    </w:div>
    <w:div w:id="1182477746">
      <w:bodyDiv w:val="1"/>
      <w:marLeft w:val="0"/>
      <w:marRight w:val="0"/>
      <w:marTop w:val="0"/>
      <w:marBottom w:val="0"/>
      <w:divBdr>
        <w:top w:val="none" w:sz="0" w:space="0" w:color="auto"/>
        <w:left w:val="none" w:sz="0" w:space="0" w:color="auto"/>
        <w:bottom w:val="none" w:sz="0" w:space="0" w:color="auto"/>
        <w:right w:val="none" w:sz="0" w:space="0" w:color="auto"/>
      </w:divBdr>
    </w:div>
    <w:div w:id="1206676707">
      <w:bodyDiv w:val="1"/>
      <w:marLeft w:val="0"/>
      <w:marRight w:val="0"/>
      <w:marTop w:val="0"/>
      <w:marBottom w:val="0"/>
      <w:divBdr>
        <w:top w:val="none" w:sz="0" w:space="0" w:color="auto"/>
        <w:left w:val="none" w:sz="0" w:space="0" w:color="auto"/>
        <w:bottom w:val="none" w:sz="0" w:space="0" w:color="auto"/>
        <w:right w:val="none" w:sz="0" w:space="0" w:color="auto"/>
      </w:divBdr>
    </w:div>
    <w:div w:id="1215308862">
      <w:bodyDiv w:val="1"/>
      <w:marLeft w:val="0"/>
      <w:marRight w:val="0"/>
      <w:marTop w:val="0"/>
      <w:marBottom w:val="0"/>
      <w:divBdr>
        <w:top w:val="none" w:sz="0" w:space="0" w:color="auto"/>
        <w:left w:val="none" w:sz="0" w:space="0" w:color="auto"/>
        <w:bottom w:val="none" w:sz="0" w:space="0" w:color="auto"/>
        <w:right w:val="none" w:sz="0" w:space="0" w:color="auto"/>
      </w:divBdr>
      <w:divsChild>
        <w:div w:id="83652381">
          <w:marLeft w:val="1426"/>
          <w:marRight w:val="0"/>
          <w:marTop w:val="120"/>
          <w:marBottom w:val="200"/>
          <w:divBdr>
            <w:top w:val="none" w:sz="0" w:space="0" w:color="auto"/>
            <w:left w:val="none" w:sz="0" w:space="0" w:color="auto"/>
            <w:bottom w:val="none" w:sz="0" w:space="0" w:color="auto"/>
            <w:right w:val="none" w:sz="0" w:space="0" w:color="auto"/>
          </w:divBdr>
        </w:div>
      </w:divsChild>
    </w:div>
    <w:div w:id="1245988323">
      <w:bodyDiv w:val="1"/>
      <w:marLeft w:val="0"/>
      <w:marRight w:val="0"/>
      <w:marTop w:val="0"/>
      <w:marBottom w:val="0"/>
      <w:divBdr>
        <w:top w:val="none" w:sz="0" w:space="0" w:color="auto"/>
        <w:left w:val="none" w:sz="0" w:space="0" w:color="auto"/>
        <w:bottom w:val="none" w:sz="0" w:space="0" w:color="auto"/>
        <w:right w:val="none" w:sz="0" w:space="0" w:color="auto"/>
      </w:divBdr>
    </w:div>
    <w:div w:id="1248079357">
      <w:bodyDiv w:val="1"/>
      <w:marLeft w:val="0"/>
      <w:marRight w:val="0"/>
      <w:marTop w:val="0"/>
      <w:marBottom w:val="0"/>
      <w:divBdr>
        <w:top w:val="none" w:sz="0" w:space="0" w:color="auto"/>
        <w:left w:val="none" w:sz="0" w:space="0" w:color="auto"/>
        <w:bottom w:val="none" w:sz="0" w:space="0" w:color="auto"/>
        <w:right w:val="none" w:sz="0" w:space="0" w:color="auto"/>
      </w:divBdr>
    </w:div>
    <w:div w:id="1256745887">
      <w:bodyDiv w:val="1"/>
      <w:marLeft w:val="0"/>
      <w:marRight w:val="0"/>
      <w:marTop w:val="0"/>
      <w:marBottom w:val="0"/>
      <w:divBdr>
        <w:top w:val="none" w:sz="0" w:space="0" w:color="auto"/>
        <w:left w:val="none" w:sz="0" w:space="0" w:color="auto"/>
        <w:bottom w:val="none" w:sz="0" w:space="0" w:color="auto"/>
        <w:right w:val="none" w:sz="0" w:space="0" w:color="auto"/>
      </w:divBdr>
    </w:div>
    <w:div w:id="1274285969">
      <w:bodyDiv w:val="1"/>
      <w:marLeft w:val="0"/>
      <w:marRight w:val="0"/>
      <w:marTop w:val="0"/>
      <w:marBottom w:val="0"/>
      <w:divBdr>
        <w:top w:val="none" w:sz="0" w:space="0" w:color="auto"/>
        <w:left w:val="none" w:sz="0" w:space="0" w:color="auto"/>
        <w:bottom w:val="none" w:sz="0" w:space="0" w:color="auto"/>
        <w:right w:val="none" w:sz="0" w:space="0" w:color="auto"/>
      </w:divBdr>
    </w:div>
    <w:div w:id="1292712579">
      <w:bodyDiv w:val="1"/>
      <w:marLeft w:val="0"/>
      <w:marRight w:val="0"/>
      <w:marTop w:val="0"/>
      <w:marBottom w:val="0"/>
      <w:divBdr>
        <w:top w:val="none" w:sz="0" w:space="0" w:color="auto"/>
        <w:left w:val="none" w:sz="0" w:space="0" w:color="auto"/>
        <w:bottom w:val="none" w:sz="0" w:space="0" w:color="auto"/>
        <w:right w:val="none" w:sz="0" w:space="0" w:color="auto"/>
      </w:divBdr>
    </w:div>
    <w:div w:id="1334799742">
      <w:bodyDiv w:val="1"/>
      <w:marLeft w:val="0"/>
      <w:marRight w:val="0"/>
      <w:marTop w:val="0"/>
      <w:marBottom w:val="0"/>
      <w:divBdr>
        <w:top w:val="none" w:sz="0" w:space="0" w:color="auto"/>
        <w:left w:val="none" w:sz="0" w:space="0" w:color="auto"/>
        <w:bottom w:val="none" w:sz="0" w:space="0" w:color="auto"/>
        <w:right w:val="none" w:sz="0" w:space="0" w:color="auto"/>
      </w:divBdr>
    </w:div>
    <w:div w:id="1341196118">
      <w:bodyDiv w:val="1"/>
      <w:marLeft w:val="0"/>
      <w:marRight w:val="0"/>
      <w:marTop w:val="0"/>
      <w:marBottom w:val="0"/>
      <w:divBdr>
        <w:top w:val="none" w:sz="0" w:space="0" w:color="auto"/>
        <w:left w:val="none" w:sz="0" w:space="0" w:color="auto"/>
        <w:bottom w:val="none" w:sz="0" w:space="0" w:color="auto"/>
        <w:right w:val="none" w:sz="0" w:space="0" w:color="auto"/>
      </w:divBdr>
    </w:div>
    <w:div w:id="1354527255">
      <w:bodyDiv w:val="1"/>
      <w:marLeft w:val="0"/>
      <w:marRight w:val="0"/>
      <w:marTop w:val="0"/>
      <w:marBottom w:val="0"/>
      <w:divBdr>
        <w:top w:val="none" w:sz="0" w:space="0" w:color="auto"/>
        <w:left w:val="none" w:sz="0" w:space="0" w:color="auto"/>
        <w:bottom w:val="none" w:sz="0" w:space="0" w:color="auto"/>
        <w:right w:val="none" w:sz="0" w:space="0" w:color="auto"/>
      </w:divBdr>
    </w:div>
    <w:div w:id="1392266379">
      <w:bodyDiv w:val="1"/>
      <w:marLeft w:val="0"/>
      <w:marRight w:val="0"/>
      <w:marTop w:val="0"/>
      <w:marBottom w:val="0"/>
      <w:divBdr>
        <w:top w:val="none" w:sz="0" w:space="0" w:color="auto"/>
        <w:left w:val="none" w:sz="0" w:space="0" w:color="auto"/>
        <w:bottom w:val="none" w:sz="0" w:space="0" w:color="auto"/>
        <w:right w:val="none" w:sz="0" w:space="0" w:color="auto"/>
      </w:divBdr>
    </w:div>
    <w:div w:id="1397171284">
      <w:bodyDiv w:val="1"/>
      <w:marLeft w:val="0"/>
      <w:marRight w:val="0"/>
      <w:marTop w:val="0"/>
      <w:marBottom w:val="0"/>
      <w:divBdr>
        <w:top w:val="none" w:sz="0" w:space="0" w:color="auto"/>
        <w:left w:val="none" w:sz="0" w:space="0" w:color="auto"/>
        <w:bottom w:val="none" w:sz="0" w:space="0" w:color="auto"/>
        <w:right w:val="none" w:sz="0" w:space="0" w:color="auto"/>
      </w:divBdr>
    </w:div>
    <w:div w:id="1445415810">
      <w:bodyDiv w:val="1"/>
      <w:marLeft w:val="0"/>
      <w:marRight w:val="0"/>
      <w:marTop w:val="0"/>
      <w:marBottom w:val="0"/>
      <w:divBdr>
        <w:top w:val="none" w:sz="0" w:space="0" w:color="auto"/>
        <w:left w:val="none" w:sz="0" w:space="0" w:color="auto"/>
        <w:bottom w:val="none" w:sz="0" w:space="0" w:color="auto"/>
        <w:right w:val="none" w:sz="0" w:space="0" w:color="auto"/>
      </w:divBdr>
    </w:div>
    <w:div w:id="1451392212">
      <w:bodyDiv w:val="1"/>
      <w:marLeft w:val="0"/>
      <w:marRight w:val="0"/>
      <w:marTop w:val="0"/>
      <w:marBottom w:val="0"/>
      <w:divBdr>
        <w:top w:val="none" w:sz="0" w:space="0" w:color="auto"/>
        <w:left w:val="none" w:sz="0" w:space="0" w:color="auto"/>
        <w:bottom w:val="none" w:sz="0" w:space="0" w:color="auto"/>
        <w:right w:val="none" w:sz="0" w:space="0" w:color="auto"/>
      </w:divBdr>
    </w:div>
    <w:div w:id="1487359862">
      <w:bodyDiv w:val="1"/>
      <w:marLeft w:val="0"/>
      <w:marRight w:val="0"/>
      <w:marTop w:val="0"/>
      <w:marBottom w:val="0"/>
      <w:divBdr>
        <w:top w:val="none" w:sz="0" w:space="0" w:color="auto"/>
        <w:left w:val="none" w:sz="0" w:space="0" w:color="auto"/>
        <w:bottom w:val="none" w:sz="0" w:space="0" w:color="auto"/>
        <w:right w:val="none" w:sz="0" w:space="0" w:color="auto"/>
      </w:divBdr>
      <w:divsChild>
        <w:div w:id="418720791">
          <w:marLeft w:val="346"/>
          <w:marRight w:val="0"/>
          <w:marTop w:val="60"/>
          <w:marBottom w:val="60"/>
          <w:divBdr>
            <w:top w:val="none" w:sz="0" w:space="0" w:color="auto"/>
            <w:left w:val="none" w:sz="0" w:space="0" w:color="auto"/>
            <w:bottom w:val="none" w:sz="0" w:space="0" w:color="auto"/>
            <w:right w:val="none" w:sz="0" w:space="0" w:color="auto"/>
          </w:divBdr>
        </w:div>
        <w:div w:id="1205362453">
          <w:marLeft w:val="346"/>
          <w:marRight w:val="0"/>
          <w:marTop w:val="60"/>
          <w:marBottom w:val="60"/>
          <w:divBdr>
            <w:top w:val="none" w:sz="0" w:space="0" w:color="auto"/>
            <w:left w:val="none" w:sz="0" w:space="0" w:color="auto"/>
            <w:bottom w:val="none" w:sz="0" w:space="0" w:color="auto"/>
            <w:right w:val="none" w:sz="0" w:space="0" w:color="auto"/>
          </w:divBdr>
        </w:div>
      </w:divsChild>
    </w:div>
    <w:div w:id="1491290863">
      <w:bodyDiv w:val="1"/>
      <w:marLeft w:val="0"/>
      <w:marRight w:val="0"/>
      <w:marTop w:val="0"/>
      <w:marBottom w:val="0"/>
      <w:divBdr>
        <w:top w:val="none" w:sz="0" w:space="0" w:color="auto"/>
        <w:left w:val="none" w:sz="0" w:space="0" w:color="auto"/>
        <w:bottom w:val="none" w:sz="0" w:space="0" w:color="auto"/>
        <w:right w:val="none" w:sz="0" w:space="0" w:color="auto"/>
      </w:divBdr>
    </w:div>
    <w:div w:id="1508250486">
      <w:bodyDiv w:val="1"/>
      <w:marLeft w:val="0"/>
      <w:marRight w:val="0"/>
      <w:marTop w:val="0"/>
      <w:marBottom w:val="0"/>
      <w:divBdr>
        <w:top w:val="none" w:sz="0" w:space="0" w:color="auto"/>
        <w:left w:val="none" w:sz="0" w:space="0" w:color="auto"/>
        <w:bottom w:val="none" w:sz="0" w:space="0" w:color="auto"/>
        <w:right w:val="none" w:sz="0" w:space="0" w:color="auto"/>
      </w:divBdr>
    </w:div>
    <w:div w:id="1547402755">
      <w:bodyDiv w:val="1"/>
      <w:marLeft w:val="0"/>
      <w:marRight w:val="0"/>
      <w:marTop w:val="0"/>
      <w:marBottom w:val="0"/>
      <w:divBdr>
        <w:top w:val="none" w:sz="0" w:space="0" w:color="auto"/>
        <w:left w:val="none" w:sz="0" w:space="0" w:color="auto"/>
        <w:bottom w:val="none" w:sz="0" w:space="0" w:color="auto"/>
        <w:right w:val="none" w:sz="0" w:space="0" w:color="auto"/>
      </w:divBdr>
    </w:div>
    <w:div w:id="1550921418">
      <w:bodyDiv w:val="1"/>
      <w:marLeft w:val="0"/>
      <w:marRight w:val="0"/>
      <w:marTop w:val="0"/>
      <w:marBottom w:val="0"/>
      <w:divBdr>
        <w:top w:val="none" w:sz="0" w:space="0" w:color="auto"/>
        <w:left w:val="none" w:sz="0" w:space="0" w:color="auto"/>
        <w:bottom w:val="none" w:sz="0" w:space="0" w:color="auto"/>
        <w:right w:val="none" w:sz="0" w:space="0" w:color="auto"/>
      </w:divBdr>
    </w:div>
    <w:div w:id="1562666937">
      <w:bodyDiv w:val="1"/>
      <w:marLeft w:val="0"/>
      <w:marRight w:val="0"/>
      <w:marTop w:val="0"/>
      <w:marBottom w:val="0"/>
      <w:divBdr>
        <w:top w:val="none" w:sz="0" w:space="0" w:color="auto"/>
        <w:left w:val="none" w:sz="0" w:space="0" w:color="auto"/>
        <w:bottom w:val="none" w:sz="0" w:space="0" w:color="auto"/>
        <w:right w:val="none" w:sz="0" w:space="0" w:color="auto"/>
      </w:divBdr>
    </w:div>
    <w:div w:id="1603341051">
      <w:bodyDiv w:val="1"/>
      <w:marLeft w:val="0"/>
      <w:marRight w:val="0"/>
      <w:marTop w:val="0"/>
      <w:marBottom w:val="0"/>
      <w:divBdr>
        <w:top w:val="none" w:sz="0" w:space="0" w:color="auto"/>
        <w:left w:val="none" w:sz="0" w:space="0" w:color="auto"/>
        <w:bottom w:val="none" w:sz="0" w:space="0" w:color="auto"/>
        <w:right w:val="none" w:sz="0" w:space="0" w:color="auto"/>
      </w:divBdr>
    </w:div>
    <w:div w:id="1624771952">
      <w:bodyDiv w:val="1"/>
      <w:marLeft w:val="0"/>
      <w:marRight w:val="0"/>
      <w:marTop w:val="0"/>
      <w:marBottom w:val="0"/>
      <w:divBdr>
        <w:top w:val="none" w:sz="0" w:space="0" w:color="auto"/>
        <w:left w:val="none" w:sz="0" w:space="0" w:color="auto"/>
        <w:bottom w:val="none" w:sz="0" w:space="0" w:color="auto"/>
        <w:right w:val="none" w:sz="0" w:space="0" w:color="auto"/>
      </w:divBdr>
    </w:div>
    <w:div w:id="1652831878">
      <w:bodyDiv w:val="1"/>
      <w:marLeft w:val="0"/>
      <w:marRight w:val="0"/>
      <w:marTop w:val="0"/>
      <w:marBottom w:val="0"/>
      <w:divBdr>
        <w:top w:val="none" w:sz="0" w:space="0" w:color="auto"/>
        <w:left w:val="none" w:sz="0" w:space="0" w:color="auto"/>
        <w:bottom w:val="none" w:sz="0" w:space="0" w:color="auto"/>
        <w:right w:val="none" w:sz="0" w:space="0" w:color="auto"/>
      </w:divBdr>
      <w:divsChild>
        <w:div w:id="281496000">
          <w:marLeft w:val="1426"/>
          <w:marRight w:val="0"/>
          <w:marTop w:val="120"/>
          <w:marBottom w:val="200"/>
          <w:divBdr>
            <w:top w:val="none" w:sz="0" w:space="0" w:color="auto"/>
            <w:left w:val="none" w:sz="0" w:space="0" w:color="auto"/>
            <w:bottom w:val="none" w:sz="0" w:space="0" w:color="auto"/>
            <w:right w:val="none" w:sz="0" w:space="0" w:color="auto"/>
          </w:divBdr>
        </w:div>
      </w:divsChild>
    </w:div>
    <w:div w:id="1656836923">
      <w:bodyDiv w:val="1"/>
      <w:marLeft w:val="0"/>
      <w:marRight w:val="0"/>
      <w:marTop w:val="0"/>
      <w:marBottom w:val="0"/>
      <w:divBdr>
        <w:top w:val="none" w:sz="0" w:space="0" w:color="auto"/>
        <w:left w:val="none" w:sz="0" w:space="0" w:color="auto"/>
        <w:bottom w:val="none" w:sz="0" w:space="0" w:color="auto"/>
        <w:right w:val="none" w:sz="0" w:space="0" w:color="auto"/>
      </w:divBdr>
    </w:div>
    <w:div w:id="1683897478">
      <w:bodyDiv w:val="1"/>
      <w:marLeft w:val="0"/>
      <w:marRight w:val="0"/>
      <w:marTop w:val="0"/>
      <w:marBottom w:val="0"/>
      <w:divBdr>
        <w:top w:val="none" w:sz="0" w:space="0" w:color="auto"/>
        <w:left w:val="none" w:sz="0" w:space="0" w:color="auto"/>
        <w:bottom w:val="none" w:sz="0" w:space="0" w:color="auto"/>
        <w:right w:val="none" w:sz="0" w:space="0" w:color="auto"/>
      </w:divBdr>
      <w:divsChild>
        <w:div w:id="836461624">
          <w:marLeft w:val="533"/>
          <w:marRight w:val="0"/>
          <w:marTop w:val="0"/>
          <w:marBottom w:val="0"/>
          <w:divBdr>
            <w:top w:val="none" w:sz="0" w:space="0" w:color="auto"/>
            <w:left w:val="none" w:sz="0" w:space="0" w:color="auto"/>
            <w:bottom w:val="none" w:sz="0" w:space="0" w:color="auto"/>
            <w:right w:val="none" w:sz="0" w:space="0" w:color="auto"/>
          </w:divBdr>
        </w:div>
      </w:divsChild>
    </w:div>
    <w:div w:id="1697854748">
      <w:bodyDiv w:val="1"/>
      <w:marLeft w:val="0"/>
      <w:marRight w:val="0"/>
      <w:marTop w:val="0"/>
      <w:marBottom w:val="0"/>
      <w:divBdr>
        <w:top w:val="none" w:sz="0" w:space="0" w:color="auto"/>
        <w:left w:val="none" w:sz="0" w:space="0" w:color="auto"/>
        <w:bottom w:val="none" w:sz="0" w:space="0" w:color="auto"/>
        <w:right w:val="none" w:sz="0" w:space="0" w:color="auto"/>
      </w:divBdr>
      <w:divsChild>
        <w:div w:id="361126194">
          <w:marLeft w:val="547"/>
          <w:marRight w:val="0"/>
          <w:marTop w:val="200"/>
          <w:marBottom w:val="0"/>
          <w:divBdr>
            <w:top w:val="none" w:sz="0" w:space="0" w:color="auto"/>
            <w:left w:val="none" w:sz="0" w:space="0" w:color="auto"/>
            <w:bottom w:val="none" w:sz="0" w:space="0" w:color="auto"/>
            <w:right w:val="none" w:sz="0" w:space="0" w:color="auto"/>
          </w:divBdr>
        </w:div>
        <w:div w:id="1392539933">
          <w:marLeft w:val="1627"/>
          <w:marRight w:val="0"/>
          <w:marTop w:val="100"/>
          <w:marBottom w:val="0"/>
          <w:divBdr>
            <w:top w:val="none" w:sz="0" w:space="0" w:color="auto"/>
            <w:left w:val="none" w:sz="0" w:space="0" w:color="auto"/>
            <w:bottom w:val="none" w:sz="0" w:space="0" w:color="auto"/>
            <w:right w:val="none" w:sz="0" w:space="0" w:color="auto"/>
          </w:divBdr>
        </w:div>
        <w:div w:id="1505169491">
          <w:marLeft w:val="1627"/>
          <w:marRight w:val="0"/>
          <w:marTop w:val="100"/>
          <w:marBottom w:val="0"/>
          <w:divBdr>
            <w:top w:val="none" w:sz="0" w:space="0" w:color="auto"/>
            <w:left w:val="none" w:sz="0" w:space="0" w:color="auto"/>
            <w:bottom w:val="none" w:sz="0" w:space="0" w:color="auto"/>
            <w:right w:val="none" w:sz="0" w:space="0" w:color="auto"/>
          </w:divBdr>
        </w:div>
        <w:div w:id="1579091402">
          <w:marLeft w:val="547"/>
          <w:marRight w:val="0"/>
          <w:marTop w:val="200"/>
          <w:marBottom w:val="0"/>
          <w:divBdr>
            <w:top w:val="none" w:sz="0" w:space="0" w:color="auto"/>
            <w:left w:val="none" w:sz="0" w:space="0" w:color="auto"/>
            <w:bottom w:val="none" w:sz="0" w:space="0" w:color="auto"/>
            <w:right w:val="none" w:sz="0" w:space="0" w:color="auto"/>
          </w:divBdr>
        </w:div>
        <w:div w:id="1800493720">
          <w:marLeft w:val="1627"/>
          <w:marRight w:val="0"/>
          <w:marTop w:val="100"/>
          <w:marBottom w:val="0"/>
          <w:divBdr>
            <w:top w:val="none" w:sz="0" w:space="0" w:color="auto"/>
            <w:left w:val="none" w:sz="0" w:space="0" w:color="auto"/>
            <w:bottom w:val="none" w:sz="0" w:space="0" w:color="auto"/>
            <w:right w:val="none" w:sz="0" w:space="0" w:color="auto"/>
          </w:divBdr>
        </w:div>
      </w:divsChild>
    </w:div>
    <w:div w:id="1720931631">
      <w:bodyDiv w:val="1"/>
      <w:marLeft w:val="0"/>
      <w:marRight w:val="0"/>
      <w:marTop w:val="0"/>
      <w:marBottom w:val="0"/>
      <w:divBdr>
        <w:top w:val="none" w:sz="0" w:space="0" w:color="auto"/>
        <w:left w:val="none" w:sz="0" w:space="0" w:color="auto"/>
        <w:bottom w:val="none" w:sz="0" w:space="0" w:color="auto"/>
        <w:right w:val="none" w:sz="0" w:space="0" w:color="auto"/>
      </w:divBdr>
    </w:div>
    <w:div w:id="1750955586">
      <w:bodyDiv w:val="1"/>
      <w:marLeft w:val="0"/>
      <w:marRight w:val="0"/>
      <w:marTop w:val="0"/>
      <w:marBottom w:val="0"/>
      <w:divBdr>
        <w:top w:val="none" w:sz="0" w:space="0" w:color="auto"/>
        <w:left w:val="none" w:sz="0" w:space="0" w:color="auto"/>
        <w:bottom w:val="none" w:sz="0" w:space="0" w:color="auto"/>
        <w:right w:val="none" w:sz="0" w:space="0" w:color="auto"/>
      </w:divBdr>
      <w:divsChild>
        <w:div w:id="393043896">
          <w:marLeft w:val="446"/>
          <w:marRight w:val="0"/>
          <w:marTop w:val="0"/>
          <w:marBottom w:val="0"/>
          <w:divBdr>
            <w:top w:val="none" w:sz="0" w:space="0" w:color="auto"/>
            <w:left w:val="none" w:sz="0" w:space="0" w:color="auto"/>
            <w:bottom w:val="none" w:sz="0" w:space="0" w:color="auto"/>
            <w:right w:val="none" w:sz="0" w:space="0" w:color="auto"/>
          </w:divBdr>
        </w:div>
        <w:div w:id="681668966">
          <w:marLeft w:val="446"/>
          <w:marRight w:val="0"/>
          <w:marTop w:val="0"/>
          <w:marBottom w:val="0"/>
          <w:divBdr>
            <w:top w:val="none" w:sz="0" w:space="0" w:color="auto"/>
            <w:left w:val="none" w:sz="0" w:space="0" w:color="auto"/>
            <w:bottom w:val="none" w:sz="0" w:space="0" w:color="auto"/>
            <w:right w:val="none" w:sz="0" w:space="0" w:color="auto"/>
          </w:divBdr>
        </w:div>
        <w:div w:id="752550346">
          <w:marLeft w:val="446"/>
          <w:marRight w:val="0"/>
          <w:marTop w:val="0"/>
          <w:marBottom w:val="0"/>
          <w:divBdr>
            <w:top w:val="none" w:sz="0" w:space="0" w:color="auto"/>
            <w:left w:val="none" w:sz="0" w:space="0" w:color="auto"/>
            <w:bottom w:val="none" w:sz="0" w:space="0" w:color="auto"/>
            <w:right w:val="none" w:sz="0" w:space="0" w:color="auto"/>
          </w:divBdr>
        </w:div>
        <w:div w:id="758479353">
          <w:marLeft w:val="446"/>
          <w:marRight w:val="0"/>
          <w:marTop w:val="0"/>
          <w:marBottom w:val="0"/>
          <w:divBdr>
            <w:top w:val="none" w:sz="0" w:space="0" w:color="auto"/>
            <w:left w:val="none" w:sz="0" w:space="0" w:color="auto"/>
            <w:bottom w:val="none" w:sz="0" w:space="0" w:color="auto"/>
            <w:right w:val="none" w:sz="0" w:space="0" w:color="auto"/>
          </w:divBdr>
        </w:div>
        <w:div w:id="1479303136">
          <w:marLeft w:val="446"/>
          <w:marRight w:val="0"/>
          <w:marTop w:val="0"/>
          <w:marBottom w:val="0"/>
          <w:divBdr>
            <w:top w:val="none" w:sz="0" w:space="0" w:color="auto"/>
            <w:left w:val="none" w:sz="0" w:space="0" w:color="auto"/>
            <w:bottom w:val="none" w:sz="0" w:space="0" w:color="auto"/>
            <w:right w:val="none" w:sz="0" w:space="0" w:color="auto"/>
          </w:divBdr>
        </w:div>
        <w:div w:id="1712340112">
          <w:marLeft w:val="446"/>
          <w:marRight w:val="0"/>
          <w:marTop w:val="0"/>
          <w:marBottom w:val="0"/>
          <w:divBdr>
            <w:top w:val="none" w:sz="0" w:space="0" w:color="auto"/>
            <w:left w:val="none" w:sz="0" w:space="0" w:color="auto"/>
            <w:bottom w:val="none" w:sz="0" w:space="0" w:color="auto"/>
            <w:right w:val="none" w:sz="0" w:space="0" w:color="auto"/>
          </w:divBdr>
        </w:div>
        <w:div w:id="1889150357">
          <w:marLeft w:val="446"/>
          <w:marRight w:val="0"/>
          <w:marTop w:val="0"/>
          <w:marBottom w:val="0"/>
          <w:divBdr>
            <w:top w:val="none" w:sz="0" w:space="0" w:color="auto"/>
            <w:left w:val="none" w:sz="0" w:space="0" w:color="auto"/>
            <w:bottom w:val="none" w:sz="0" w:space="0" w:color="auto"/>
            <w:right w:val="none" w:sz="0" w:space="0" w:color="auto"/>
          </w:divBdr>
        </w:div>
      </w:divsChild>
    </w:div>
    <w:div w:id="1775972773">
      <w:bodyDiv w:val="1"/>
      <w:marLeft w:val="0"/>
      <w:marRight w:val="0"/>
      <w:marTop w:val="0"/>
      <w:marBottom w:val="0"/>
      <w:divBdr>
        <w:top w:val="none" w:sz="0" w:space="0" w:color="auto"/>
        <w:left w:val="none" w:sz="0" w:space="0" w:color="auto"/>
        <w:bottom w:val="none" w:sz="0" w:space="0" w:color="auto"/>
        <w:right w:val="none" w:sz="0" w:space="0" w:color="auto"/>
      </w:divBdr>
    </w:div>
    <w:div w:id="1808740162">
      <w:bodyDiv w:val="1"/>
      <w:marLeft w:val="0"/>
      <w:marRight w:val="0"/>
      <w:marTop w:val="0"/>
      <w:marBottom w:val="0"/>
      <w:divBdr>
        <w:top w:val="none" w:sz="0" w:space="0" w:color="auto"/>
        <w:left w:val="none" w:sz="0" w:space="0" w:color="auto"/>
        <w:bottom w:val="none" w:sz="0" w:space="0" w:color="auto"/>
        <w:right w:val="none" w:sz="0" w:space="0" w:color="auto"/>
      </w:divBdr>
      <w:divsChild>
        <w:div w:id="211843470">
          <w:marLeft w:val="720"/>
          <w:marRight w:val="0"/>
          <w:marTop w:val="0"/>
          <w:marBottom w:val="0"/>
          <w:divBdr>
            <w:top w:val="none" w:sz="0" w:space="0" w:color="auto"/>
            <w:left w:val="none" w:sz="0" w:space="0" w:color="auto"/>
            <w:bottom w:val="none" w:sz="0" w:space="0" w:color="auto"/>
            <w:right w:val="none" w:sz="0" w:space="0" w:color="auto"/>
          </w:divBdr>
        </w:div>
        <w:div w:id="1405225737">
          <w:marLeft w:val="720"/>
          <w:marRight w:val="0"/>
          <w:marTop w:val="0"/>
          <w:marBottom w:val="0"/>
          <w:divBdr>
            <w:top w:val="none" w:sz="0" w:space="0" w:color="auto"/>
            <w:left w:val="none" w:sz="0" w:space="0" w:color="auto"/>
            <w:bottom w:val="none" w:sz="0" w:space="0" w:color="auto"/>
            <w:right w:val="none" w:sz="0" w:space="0" w:color="auto"/>
          </w:divBdr>
        </w:div>
        <w:div w:id="1761218480">
          <w:marLeft w:val="720"/>
          <w:marRight w:val="0"/>
          <w:marTop w:val="0"/>
          <w:marBottom w:val="0"/>
          <w:divBdr>
            <w:top w:val="none" w:sz="0" w:space="0" w:color="auto"/>
            <w:left w:val="none" w:sz="0" w:space="0" w:color="auto"/>
            <w:bottom w:val="none" w:sz="0" w:space="0" w:color="auto"/>
            <w:right w:val="none" w:sz="0" w:space="0" w:color="auto"/>
          </w:divBdr>
        </w:div>
      </w:divsChild>
    </w:div>
    <w:div w:id="1831019773">
      <w:bodyDiv w:val="1"/>
      <w:marLeft w:val="0"/>
      <w:marRight w:val="0"/>
      <w:marTop w:val="0"/>
      <w:marBottom w:val="0"/>
      <w:divBdr>
        <w:top w:val="none" w:sz="0" w:space="0" w:color="auto"/>
        <w:left w:val="none" w:sz="0" w:space="0" w:color="auto"/>
        <w:bottom w:val="none" w:sz="0" w:space="0" w:color="auto"/>
        <w:right w:val="none" w:sz="0" w:space="0" w:color="auto"/>
      </w:divBdr>
    </w:div>
    <w:div w:id="1865363522">
      <w:bodyDiv w:val="1"/>
      <w:marLeft w:val="0"/>
      <w:marRight w:val="0"/>
      <w:marTop w:val="0"/>
      <w:marBottom w:val="0"/>
      <w:divBdr>
        <w:top w:val="none" w:sz="0" w:space="0" w:color="auto"/>
        <w:left w:val="none" w:sz="0" w:space="0" w:color="auto"/>
        <w:bottom w:val="none" w:sz="0" w:space="0" w:color="auto"/>
        <w:right w:val="none" w:sz="0" w:space="0" w:color="auto"/>
      </w:divBdr>
    </w:div>
    <w:div w:id="1871139447">
      <w:bodyDiv w:val="1"/>
      <w:marLeft w:val="0"/>
      <w:marRight w:val="0"/>
      <w:marTop w:val="0"/>
      <w:marBottom w:val="0"/>
      <w:divBdr>
        <w:top w:val="none" w:sz="0" w:space="0" w:color="auto"/>
        <w:left w:val="none" w:sz="0" w:space="0" w:color="auto"/>
        <w:bottom w:val="none" w:sz="0" w:space="0" w:color="auto"/>
        <w:right w:val="none" w:sz="0" w:space="0" w:color="auto"/>
      </w:divBdr>
      <w:divsChild>
        <w:div w:id="211381232">
          <w:marLeft w:val="533"/>
          <w:marRight w:val="0"/>
          <w:marTop w:val="0"/>
          <w:marBottom w:val="0"/>
          <w:divBdr>
            <w:top w:val="none" w:sz="0" w:space="0" w:color="auto"/>
            <w:left w:val="none" w:sz="0" w:space="0" w:color="auto"/>
            <w:bottom w:val="none" w:sz="0" w:space="0" w:color="auto"/>
            <w:right w:val="none" w:sz="0" w:space="0" w:color="auto"/>
          </w:divBdr>
        </w:div>
      </w:divsChild>
    </w:div>
    <w:div w:id="1871643338">
      <w:bodyDiv w:val="1"/>
      <w:marLeft w:val="0"/>
      <w:marRight w:val="0"/>
      <w:marTop w:val="0"/>
      <w:marBottom w:val="0"/>
      <w:divBdr>
        <w:top w:val="none" w:sz="0" w:space="0" w:color="auto"/>
        <w:left w:val="none" w:sz="0" w:space="0" w:color="auto"/>
        <w:bottom w:val="none" w:sz="0" w:space="0" w:color="auto"/>
        <w:right w:val="none" w:sz="0" w:space="0" w:color="auto"/>
      </w:divBdr>
    </w:div>
    <w:div w:id="1878660451">
      <w:bodyDiv w:val="1"/>
      <w:marLeft w:val="0"/>
      <w:marRight w:val="0"/>
      <w:marTop w:val="0"/>
      <w:marBottom w:val="0"/>
      <w:divBdr>
        <w:top w:val="none" w:sz="0" w:space="0" w:color="auto"/>
        <w:left w:val="none" w:sz="0" w:space="0" w:color="auto"/>
        <w:bottom w:val="none" w:sz="0" w:space="0" w:color="auto"/>
        <w:right w:val="none" w:sz="0" w:space="0" w:color="auto"/>
      </w:divBdr>
      <w:divsChild>
        <w:div w:id="434600938">
          <w:marLeft w:val="446"/>
          <w:marRight w:val="0"/>
          <w:marTop w:val="0"/>
          <w:marBottom w:val="0"/>
          <w:divBdr>
            <w:top w:val="none" w:sz="0" w:space="0" w:color="auto"/>
            <w:left w:val="none" w:sz="0" w:space="0" w:color="auto"/>
            <w:bottom w:val="none" w:sz="0" w:space="0" w:color="auto"/>
            <w:right w:val="none" w:sz="0" w:space="0" w:color="auto"/>
          </w:divBdr>
        </w:div>
        <w:div w:id="1396125169">
          <w:marLeft w:val="446"/>
          <w:marRight w:val="0"/>
          <w:marTop w:val="0"/>
          <w:marBottom w:val="0"/>
          <w:divBdr>
            <w:top w:val="none" w:sz="0" w:space="0" w:color="auto"/>
            <w:left w:val="none" w:sz="0" w:space="0" w:color="auto"/>
            <w:bottom w:val="none" w:sz="0" w:space="0" w:color="auto"/>
            <w:right w:val="none" w:sz="0" w:space="0" w:color="auto"/>
          </w:divBdr>
        </w:div>
        <w:div w:id="1660691975">
          <w:marLeft w:val="446"/>
          <w:marRight w:val="0"/>
          <w:marTop w:val="0"/>
          <w:marBottom w:val="0"/>
          <w:divBdr>
            <w:top w:val="none" w:sz="0" w:space="0" w:color="auto"/>
            <w:left w:val="none" w:sz="0" w:space="0" w:color="auto"/>
            <w:bottom w:val="none" w:sz="0" w:space="0" w:color="auto"/>
            <w:right w:val="none" w:sz="0" w:space="0" w:color="auto"/>
          </w:divBdr>
        </w:div>
        <w:div w:id="1737364091">
          <w:marLeft w:val="446"/>
          <w:marRight w:val="0"/>
          <w:marTop w:val="0"/>
          <w:marBottom w:val="0"/>
          <w:divBdr>
            <w:top w:val="none" w:sz="0" w:space="0" w:color="auto"/>
            <w:left w:val="none" w:sz="0" w:space="0" w:color="auto"/>
            <w:bottom w:val="none" w:sz="0" w:space="0" w:color="auto"/>
            <w:right w:val="none" w:sz="0" w:space="0" w:color="auto"/>
          </w:divBdr>
        </w:div>
      </w:divsChild>
    </w:div>
    <w:div w:id="1885630373">
      <w:bodyDiv w:val="1"/>
      <w:marLeft w:val="0"/>
      <w:marRight w:val="0"/>
      <w:marTop w:val="0"/>
      <w:marBottom w:val="0"/>
      <w:divBdr>
        <w:top w:val="none" w:sz="0" w:space="0" w:color="auto"/>
        <w:left w:val="none" w:sz="0" w:space="0" w:color="auto"/>
        <w:bottom w:val="none" w:sz="0" w:space="0" w:color="auto"/>
        <w:right w:val="none" w:sz="0" w:space="0" w:color="auto"/>
      </w:divBdr>
    </w:div>
    <w:div w:id="1914581694">
      <w:bodyDiv w:val="1"/>
      <w:marLeft w:val="0"/>
      <w:marRight w:val="0"/>
      <w:marTop w:val="0"/>
      <w:marBottom w:val="0"/>
      <w:divBdr>
        <w:top w:val="none" w:sz="0" w:space="0" w:color="auto"/>
        <w:left w:val="none" w:sz="0" w:space="0" w:color="auto"/>
        <w:bottom w:val="none" w:sz="0" w:space="0" w:color="auto"/>
        <w:right w:val="none" w:sz="0" w:space="0" w:color="auto"/>
      </w:divBdr>
    </w:div>
    <w:div w:id="1918049766">
      <w:bodyDiv w:val="1"/>
      <w:marLeft w:val="0"/>
      <w:marRight w:val="0"/>
      <w:marTop w:val="0"/>
      <w:marBottom w:val="0"/>
      <w:divBdr>
        <w:top w:val="none" w:sz="0" w:space="0" w:color="auto"/>
        <w:left w:val="none" w:sz="0" w:space="0" w:color="auto"/>
        <w:bottom w:val="none" w:sz="0" w:space="0" w:color="auto"/>
        <w:right w:val="none" w:sz="0" w:space="0" w:color="auto"/>
      </w:divBdr>
      <w:divsChild>
        <w:div w:id="164252361">
          <w:marLeft w:val="0"/>
          <w:marRight w:val="0"/>
          <w:marTop w:val="0"/>
          <w:marBottom w:val="0"/>
          <w:divBdr>
            <w:top w:val="none" w:sz="0" w:space="0" w:color="auto"/>
            <w:left w:val="none" w:sz="0" w:space="0" w:color="auto"/>
            <w:bottom w:val="single" w:sz="24" w:space="0" w:color="1A1A1A"/>
            <w:right w:val="none" w:sz="0" w:space="0" w:color="auto"/>
          </w:divBdr>
          <w:divsChild>
            <w:div w:id="308746762">
              <w:marLeft w:val="0"/>
              <w:marRight w:val="0"/>
              <w:marTop w:val="0"/>
              <w:marBottom w:val="0"/>
              <w:divBdr>
                <w:top w:val="none" w:sz="0" w:space="0" w:color="auto"/>
                <w:left w:val="none" w:sz="0" w:space="0" w:color="auto"/>
                <w:bottom w:val="none" w:sz="0" w:space="0" w:color="auto"/>
                <w:right w:val="none" w:sz="0" w:space="0" w:color="auto"/>
              </w:divBdr>
              <w:divsChild>
                <w:div w:id="688065444">
                  <w:marLeft w:val="0"/>
                  <w:marRight w:val="0"/>
                  <w:marTop w:val="0"/>
                  <w:marBottom w:val="0"/>
                  <w:divBdr>
                    <w:top w:val="none" w:sz="0" w:space="0" w:color="auto"/>
                    <w:left w:val="none" w:sz="0" w:space="0" w:color="auto"/>
                    <w:bottom w:val="none" w:sz="0" w:space="0" w:color="auto"/>
                    <w:right w:val="none" w:sz="0" w:space="0" w:color="auto"/>
                  </w:divBdr>
                  <w:divsChild>
                    <w:div w:id="58735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29992">
      <w:bodyDiv w:val="1"/>
      <w:marLeft w:val="0"/>
      <w:marRight w:val="0"/>
      <w:marTop w:val="0"/>
      <w:marBottom w:val="0"/>
      <w:divBdr>
        <w:top w:val="none" w:sz="0" w:space="0" w:color="auto"/>
        <w:left w:val="none" w:sz="0" w:space="0" w:color="auto"/>
        <w:bottom w:val="none" w:sz="0" w:space="0" w:color="auto"/>
        <w:right w:val="none" w:sz="0" w:space="0" w:color="auto"/>
      </w:divBdr>
    </w:div>
    <w:div w:id="1976596288">
      <w:bodyDiv w:val="1"/>
      <w:marLeft w:val="0"/>
      <w:marRight w:val="0"/>
      <w:marTop w:val="0"/>
      <w:marBottom w:val="0"/>
      <w:divBdr>
        <w:top w:val="none" w:sz="0" w:space="0" w:color="auto"/>
        <w:left w:val="none" w:sz="0" w:space="0" w:color="auto"/>
        <w:bottom w:val="none" w:sz="0" w:space="0" w:color="auto"/>
        <w:right w:val="none" w:sz="0" w:space="0" w:color="auto"/>
      </w:divBdr>
    </w:div>
    <w:div w:id="1982953645">
      <w:bodyDiv w:val="1"/>
      <w:marLeft w:val="0"/>
      <w:marRight w:val="0"/>
      <w:marTop w:val="0"/>
      <w:marBottom w:val="0"/>
      <w:divBdr>
        <w:top w:val="none" w:sz="0" w:space="0" w:color="auto"/>
        <w:left w:val="none" w:sz="0" w:space="0" w:color="auto"/>
        <w:bottom w:val="none" w:sz="0" w:space="0" w:color="auto"/>
        <w:right w:val="none" w:sz="0" w:space="0" w:color="auto"/>
      </w:divBdr>
    </w:div>
    <w:div w:id="2006860164">
      <w:bodyDiv w:val="1"/>
      <w:marLeft w:val="0"/>
      <w:marRight w:val="0"/>
      <w:marTop w:val="0"/>
      <w:marBottom w:val="0"/>
      <w:divBdr>
        <w:top w:val="none" w:sz="0" w:space="0" w:color="auto"/>
        <w:left w:val="none" w:sz="0" w:space="0" w:color="auto"/>
        <w:bottom w:val="none" w:sz="0" w:space="0" w:color="auto"/>
        <w:right w:val="none" w:sz="0" w:space="0" w:color="auto"/>
      </w:divBdr>
      <w:divsChild>
        <w:div w:id="829178154">
          <w:marLeft w:val="547"/>
          <w:marRight w:val="0"/>
          <w:marTop w:val="120"/>
          <w:marBottom w:val="120"/>
          <w:divBdr>
            <w:top w:val="none" w:sz="0" w:space="0" w:color="auto"/>
            <w:left w:val="none" w:sz="0" w:space="0" w:color="auto"/>
            <w:bottom w:val="none" w:sz="0" w:space="0" w:color="auto"/>
            <w:right w:val="none" w:sz="0" w:space="0" w:color="auto"/>
          </w:divBdr>
        </w:div>
      </w:divsChild>
    </w:div>
    <w:div w:id="2031641435">
      <w:bodyDiv w:val="1"/>
      <w:marLeft w:val="0"/>
      <w:marRight w:val="0"/>
      <w:marTop w:val="0"/>
      <w:marBottom w:val="0"/>
      <w:divBdr>
        <w:top w:val="none" w:sz="0" w:space="0" w:color="auto"/>
        <w:left w:val="none" w:sz="0" w:space="0" w:color="auto"/>
        <w:bottom w:val="none" w:sz="0" w:space="0" w:color="auto"/>
        <w:right w:val="none" w:sz="0" w:space="0" w:color="auto"/>
      </w:divBdr>
    </w:div>
    <w:div w:id="2058048836">
      <w:bodyDiv w:val="1"/>
      <w:marLeft w:val="0"/>
      <w:marRight w:val="0"/>
      <w:marTop w:val="0"/>
      <w:marBottom w:val="0"/>
      <w:divBdr>
        <w:top w:val="none" w:sz="0" w:space="0" w:color="auto"/>
        <w:left w:val="none" w:sz="0" w:space="0" w:color="auto"/>
        <w:bottom w:val="none" w:sz="0" w:space="0" w:color="auto"/>
        <w:right w:val="none" w:sz="0" w:space="0" w:color="auto"/>
      </w:divBdr>
    </w:div>
    <w:div w:id="2116561176">
      <w:bodyDiv w:val="1"/>
      <w:marLeft w:val="0"/>
      <w:marRight w:val="0"/>
      <w:marTop w:val="0"/>
      <w:marBottom w:val="0"/>
      <w:divBdr>
        <w:top w:val="none" w:sz="0" w:space="0" w:color="auto"/>
        <w:left w:val="none" w:sz="0" w:space="0" w:color="auto"/>
        <w:bottom w:val="none" w:sz="0" w:space="0" w:color="auto"/>
        <w:right w:val="none" w:sz="0" w:space="0" w:color="auto"/>
      </w:divBdr>
      <w:divsChild>
        <w:div w:id="1323460862">
          <w:marLeft w:val="0"/>
          <w:marRight w:val="0"/>
          <w:marTop w:val="0"/>
          <w:marBottom w:val="0"/>
          <w:divBdr>
            <w:top w:val="none" w:sz="0" w:space="0" w:color="auto"/>
            <w:left w:val="none" w:sz="0" w:space="0" w:color="auto"/>
            <w:bottom w:val="none" w:sz="0" w:space="0" w:color="auto"/>
            <w:right w:val="none" w:sz="0" w:space="0" w:color="auto"/>
          </w:divBdr>
          <w:divsChild>
            <w:div w:id="1319765041">
              <w:marLeft w:val="0"/>
              <w:marRight w:val="0"/>
              <w:marTop w:val="0"/>
              <w:marBottom w:val="0"/>
              <w:divBdr>
                <w:top w:val="none" w:sz="0" w:space="0" w:color="auto"/>
                <w:left w:val="none" w:sz="0" w:space="0" w:color="auto"/>
                <w:bottom w:val="none" w:sz="0" w:space="0" w:color="auto"/>
                <w:right w:val="none" w:sz="0" w:space="0" w:color="auto"/>
              </w:divBdr>
              <w:divsChild>
                <w:div w:id="202227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1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c-isc.gc.ca/eng/1100100033057/1610797769658" TargetMode="External"/><Relationship Id="rId18" Type="http://schemas.openxmlformats.org/officeDocument/2006/relationships/hyperlink" Target="https://www.international.gc.ca/trade-commerce/trade-agreements-accords-commerciaux/agr-acc/cptpp-ptpgp/index.aspx?lang=en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fta-alec.ca/agreement-on-internal-trade/" TargetMode="External"/><Relationship Id="rId7" Type="http://schemas.openxmlformats.org/officeDocument/2006/relationships/settings" Target="settings.xml"/><Relationship Id="rId12" Type="http://schemas.openxmlformats.org/officeDocument/2006/relationships/hyperlink" Target="https://ontariogov.sharepoint.com/sites/CAB/SupplyChain/BOBIBOBIA/For%20REVIEW/ontario.ca/page/ontario-business-registry"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international.gc.ca/trade-commerce/trade-agreements-accords-commerciaux/agr-acc/ceta-aecg/index.aspx?lang=e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ingbusiness@supplyontario.ca" TargetMode="External"/><Relationship Id="rId24" Type="http://schemas.openxmlformats.org/officeDocument/2006/relationships/hyperlink" Target="https://www.international.gc.ca/trade-commerce/trade-agreements-accords-commerciaux/agr-acc/cuktca-acccru/trade-continuity-agreement.aspx?lang=eng"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ontario.ca/document/trade-and-cooperation-agreement-between-ontario-and-quebec-0" TargetMode="External"/><Relationship Id="rId10" Type="http://schemas.openxmlformats.org/officeDocument/2006/relationships/endnotes" Target="endnotes.xml"/><Relationship Id="rId19" Type="http://schemas.openxmlformats.org/officeDocument/2006/relationships/hyperlink" Target="https://www.wto.org/english/tratop_e/gproc_e/memobs_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ontario.ca/ops/procurement-tools-and-templates" TargetMode="External"/><Relationship Id="rId22" Type="http://schemas.openxmlformats.org/officeDocument/2006/relationships/hyperlink" Target="https://www.cfta-ale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2">
      <a:dk1>
        <a:srgbClr val="000000"/>
      </a:dk1>
      <a:lt1>
        <a:sysClr val="window" lastClr="FFFFFF"/>
      </a:lt1>
      <a:dk2>
        <a:srgbClr val="006E81"/>
      </a:dk2>
      <a:lt2>
        <a:srgbClr val="4C4C4E"/>
      </a:lt2>
      <a:accent1>
        <a:srgbClr val="4D3F5A"/>
      </a:accent1>
      <a:accent2>
        <a:srgbClr val="7C6757"/>
      </a:accent2>
      <a:accent3>
        <a:srgbClr val="94E4CC"/>
      </a:accent3>
      <a:accent4>
        <a:srgbClr val="B892B1"/>
      </a:accent4>
      <a:accent5>
        <a:srgbClr val="ADDC91"/>
      </a:accent5>
      <a:accent6>
        <a:srgbClr val="FFD36F"/>
      </a:accent6>
      <a:hlink>
        <a:srgbClr val="006E81"/>
      </a:hlink>
      <a:folHlink>
        <a:srgbClr val="4D3F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A6F9C30A5672B4B9271664ED20111A4" ma:contentTypeVersion="6" ma:contentTypeDescription="Create a new document." ma:contentTypeScope="" ma:versionID="0ef4e765a2f5f0f34ee310b43f482b5a">
  <xsd:schema xmlns:xsd="http://www.w3.org/2001/XMLSchema" xmlns:xs="http://www.w3.org/2001/XMLSchema" xmlns:p="http://schemas.microsoft.com/office/2006/metadata/properties" xmlns:ns2="5d6b8103-7e85-41b9-8728-bec73677a293" xmlns:ns3="f652a4b7-4d57-4f23-81b1-6b63516b1e98" targetNamespace="http://schemas.microsoft.com/office/2006/metadata/properties" ma:root="true" ma:fieldsID="966b815b3479895a8ccdb71f8dcfad96" ns2:_="" ns3:_="">
    <xsd:import namespace="5d6b8103-7e85-41b9-8728-bec73677a293"/>
    <xsd:import namespace="f652a4b7-4d57-4f23-81b1-6b63516b1e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b8103-7e85-41b9-8728-bec73677a2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52a4b7-4d57-4f23-81b1-6b63516b1e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652a4b7-4d57-4f23-81b1-6b63516b1e98">
      <UserInfo>
        <DisplayName>Olinski, Sarah (She/Her) (MECP)</DisplayName>
        <AccountId>662</AccountId>
        <AccountType/>
      </UserInfo>
      <UserInfo>
        <DisplayName>Hsu, Jim YC (TBS)</DisplayName>
        <AccountId>993</AccountId>
        <AccountType/>
      </UserInfo>
      <UserInfo>
        <DisplayName>SharingLinks.2ae4da14-2f9a-492a-8cee-6094342cb4d5.Flexible.6fa732a0-84dc-40a7-986d-2064d4a5fec8</DisplayName>
        <AccountId>3147</AccountId>
        <AccountType/>
      </UserInfo>
      <UserInfo>
        <DisplayName>SharingLinks.2f6fcc17-594b-42e8-a50c-fa656e13f23d.OrganizationEdit.58d5cf7e-27ea-43ec-a648-38f34a907e73</DisplayName>
        <AccountId>2648</AccountId>
        <AccountType/>
      </UserInfo>
      <UserInfo>
        <DisplayName>SharingLinks.42e6c732-e4cc-4d62-8cc3-2e62a8b2a576.Flexible.0f3921f9-5305-40c0-9d24-9112de4b4ca7</DisplayName>
        <AccountId>164</AccountId>
        <AccountType/>
      </UserInfo>
      <UserInfo>
        <DisplayName>Viswanathan, Lorna (MPBSD)</DisplayName>
        <AccountId>4056</AccountId>
        <AccountType/>
      </UserInfo>
      <UserInfo>
        <DisplayName>Viswanathan, Lorna (TBS)</DisplayName>
        <AccountId>12590</AccountId>
        <AccountType/>
      </UserInfo>
      <UserInfo>
        <DisplayName>Alexe, Andrei (TBS)</DisplayName>
        <AccountId>5654</AccountId>
        <AccountType/>
      </UserInfo>
      <UserInfo>
        <DisplayName>Chakravorty, Sarvani (TBS)</DisplayName>
        <AccountId>5059</AccountId>
        <AccountType/>
      </UserInfo>
      <UserInfo>
        <DisplayName>Lewis, Mark (TBS)</DisplayName>
        <AccountId>2264</AccountId>
        <AccountType/>
      </UserInfo>
      <UserInfo>
        <DisplayName>Fera, Max (TBS)</DisplayName>
        <AccountId>8968</AccountId>
        <AccountType/>
      </UserInfo>
      <UserInfo>
        <DisplayName>Kim, Daniel (TBS)</DisplayName>
        <AccountId>5669</AccountId>
        <AccountType/>
      </UserInfo>
      <UserInfo>
        <DisplayName>Wong, Mee Lan (TBS)</DisplayName>
        <AccountId>5662</AccountId>
        <AccountType/>
      </UserInfo>
      <UserInfo>
        <DisplayName>Baranriz, Helina (TBS)</DisplayName>
        <AccountId>5650</AccountId>
        <AccountType/>
      </UserInfo>
    </SharedWithUsers>
  </documentManagement>
</p:properties>
</file>

<file path=customXml/itemProps1.xml><?xml version="1.0" encoding="utf-8"?>
<ds:datastoreItem xmlns:ds="http://schemas.openxmlformats.org/officeDocument/2006/customXml" ds:itemID="{7ADC5906-D0FD-45B3-97FA-FFBDABE5FD16}">
  <ds:schemaRefs>
    <ds:schemaRef ds:uri="http://schemas.microsoft.com/sharepoint/v3/contenttype/forms"/>
  </ds:schemaRefs>
</ds:datastoreItem>
</file>

<file path=customXml/itemProps2.xml><?xml version="1.0" encoding="utf-8"?>
<ds:datastoreItem xmlns:ds="http://schemas.openxmlformats.org/officeDocument/2006/customXml" ds:itemID="{5549DF4F-34A5-4159-AF18-4C352AB5FC36}">
  <ds:schemaRefs>
    <ds:schemaRef ds:uri="http://schemas.openxmlformats.org/officeDocument/2006/bibliography"/>
  </ds:schemaRefs>
</ds:datastoreItem>
</file>

<file path=customXml/itemProps3.xml><?xml version="1.0" encoding="utf-8"?>
<ds:datastoreItem xmlns:ds="http://schemas.openxmlformats.org/officeDocument/2006/customXml" ds:itemID="{4CBF0E41-1354-4284-A8E2-BB5D1D276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b8103-7e85-41b9-8728-bec73677a293"/>
    <ds:schemaRef ds:uri="f652a4b7-4d57-4f23-81b1-6b63516b1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35973C-F70D-4B90-9655-DABA0446ACD8}">
  <ds:schemaRefs>
    <ds:schemaRef ds:uri="5d6b8103-7e85-41b9-8728-bec73677a29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652a4b7-4d57-4f23-81b1-6b63516b1e98"/>
    <ds:schemaRef ds:uri="http://www.w3.org/XML/1998/namespace"/>
    <ds:schemaRef ds:uri="http://purl.org/dc/dcmitype/"/>
  </ds:schemaRefs>
</ds:datastoreItem>
</file>

<file path=docMetadata/LabelInfo.xml><?xml version="1.0" encoding="utf-8"?>
<clbl:labelList xmlns:clbl="http://schemas.microsoft.com/office/2020/mipLabelMetadata">
  <clbl:label id="{034a106e-6316-442c-ad35-738afd673d2b}" enabled="1" method="Privilege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3</TotalTime>
  <Pages>44</Pages>
  <Words>7741</Words>
  <Characters>44127</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51765</CharactersWithSpaces>
  <SharedDoc>false</SharedDoc>
  <HLinks>
    <vt:vector size="312" baseType="variant">
      <vt:variant>
        <vt:i4>7209070</vt:i4>
      </vt:variant>
      <vt:variant>
        <vt:i4>258</vt:i4>
      </vt:variant>
      <vt:variant>
        <vt:i4>0</vt:i4>
      </vt:variant>
      <vt:variant>
        <vt:i4>5</vt:i4>
      </vt:variant>
      <vt:variant>
        <vt:lpwstr>https://www.international.gc.ca/trade-commerce/trade-agreements-accords-commerciaux/agr-acc/cuktca-acccru/trade-continuity-agreement.aspx?lang=eng</vt:lpwstr>
      </vt:variant>
      <vt:variant>
        <vt:lpwstr/>
      </vt:variant>
      <vt:variant>
        <vt:i4>5439582</vt:i4>
      </vt:variant>
      <vt:variant>
        <vt:i4>255</vt:i4>
      </vt:variant>
      <vt:variant>
        <vt:i4>0</vt:i4>
      </vt:variant>
      <vt:variant>
        <vt:i4>5</vt:i4>
      </vt:variant>
      <vt:variant>
        <vt:lpwstr>https://www.ontario.ca/document/trade-and-cooperation-agreement-between-ontario-and-quebec-0</vt:lpwstr>
      </vt:variant>
      <vt:variant>
        <vt:lpwstr/>
      </vt:variant>
      <vt:variant>
        <vt:i4>1310736</vt:i4>
      </vt:variant>
      <vt:variant>
        <vt:i4>252</vt:i4>
      </vt:variant>
      <vt:variant>
        <vt:i4>0</vt:i4>
      </vt:variant>
      <vt:variant>
        <vt:i4>5</vt:i4>
      </vt:variant>
      <vt:variant>
        <vt:lpwstr>https://www.international.gc.ca/trade-commerce/trade-agreements-accords-commerciaux/agr-acc/ceta-aecg/index.aspx?lang=eng</vt:lpwstr>
      </vt:variant>
      <vt:variant>
        <vt:lpwstr/>
      </vt:variant>
      <vt:variant>
        <vt:i4>262166</vt:i4>
      </vt:variant>
      <vt:variant>
        <vt:i4>249</vt:i4>
      </vt:variant>
      <vt:variant>
        <vt:i4>0</vt:i4>
      </vt:variant>
      <vt:variant>
        <vt:i4>5</vt:i4>
      </vt:variant>
      <vt:variant>
        <vt:lpwstr>https://www.cfta-alec.ca/</vt:lpwstr>
      </vt:variant>
      <vt:variant>
        <vt:lpwstr/>
      </vt:variant>
      <vt:variant>
        <vt:i4>7733314</vt:i4>
      </vt:variant>
      <vt:variant>
        <vt:i4>246</vt:i4>
      </vt:variant>
      <vt:variant>
        <vt:i4>0</vt:i4>
      </vt:variant>
      <vt:variant>
        <vt:i4>5</vt:i4>
      </vt:variant>
      <vt:variant>
        <vt:lpwstr>https://www.wto.org/english/tratop_e/gproc_e/memobs_e.htm</vt:lpwstr>
      </vt:variant>
      <vt:variant>
        <vt:lpwstr/>
      </vt:variant>
      <vt:variant>
        <vt:i4>2883647</vt:i4>
      </vt:variant>
      <vt:variant>
        <vt:i4>243</vt:i4>
      </vt:variant>
      <vt:variant>
        <vt:i4>0</vt:i4>
      </vt:variant>
      <vt:variant>
        <vt:i4>5</vt:i4>
      </vt:variant>
      <vt:variant>
        <vt:lpwstr>https://www.international.gc.ca/trade-commerce/trade-agreements-accords-commerciaux/agr-acc/cptpp-ptpgp/index.aspx?lang=eng</vt:lpwstr>
      </vt:variant>
      <vt:variant>
        <vt:lpwstr/>
      </vt:variant>
      <vt:variant>
        <vt:i4>5767246</vt:i4>
      </vt:variant>
      <vt:variant>
        <vt:i4>240</vt:i4>
      </vt:variant>
      <vt:variant>
        <vt:i4>0</vt:i4>
      </vt:variant>
      <vt:variant>
        <vt:i4>5</vt:i4>
      </vt:variant>
      <vt:variant>
        <vt:lpwstr>https://www.cfta-alec.ca/agreement-on-internal-trade/</vt:lpwstr>
      </vt:variant>
      <vt:variant>
        <vt:lpwstr/>
      </vt:variant>
      <vt:variant>
        <vt:i4>6422647</vt:i4>
      </vt:variant>
      <vt:variant>
        <vt:i4>237</vt:i4>
      </vt:variant>
      <vt:variant>
        <vt:i4>0</vt:i4>
      </vt:variant>
      <vt:variant>
        <vt:i4>5</vt:i4>
      </vt:variant>
      <vt:variant>
        <vt:lpwstr/>
      </vt:variant>
      <vt:variant>
        <vt:lpwstr>Definition</vt:lpwstr>
      </vt:variant>
      <vt:variant>
        <vt:i4>6422546</vt:i4>
      </vt:variant>
      <vt:variant>
        <vt:i4>234</vt:i4>
      </vt:variant>
      <vt:variant>
        <vt:i4>0</vt:i4>
      </vt:variant>
      <vt:variant>
        <vt:i4>5</vt:i4>
      </vt:variant>
      <vt:variant>
        <vt:lpwstr/>
      </vt:variant>
      <vt:variant>
        <vt:lpwstr>_Appendix_B:_Example</vt:lpwstr>
      </vt:variant>
      <vt:variant>
        <vt:i4>6291486</vt:i4>
      </vt:variant>
      <vt:variant>
        <vt:i4>231</vt:i4>
      </vt:variant>
      <vt:variant>
        <vt:i4>0</vt:i4>
      </vt:variant>
      <vt:variant>
        <vt:i4>5</vt:i4>
      </vt:variant>
      <vt:variant>
        <vt:lpwstr/>
      </vt:variant>
      <vt:variant>
        <vt:lpwstr>_Appendix_A:_Weighted</vt:lpwstr>
      </vt:variant>
      <vt:variant>
        <vt:i4>1507352</vt:i4>
      </vt:variant>
      <vt:variant>
        <vt:i4>228</vt:i4>
      </vt:variant>
      <vt:variant>
        <vt:i4>0</vt:i4>
      </vt:variant>
      <vt:variant>
        <vt:i4>5</vt:i4>
      </vt:variant>
      <vt:variant>
        <vt:lpwstr>https://intra.ontario.ca/ops/procurement-tools-and-templates</vt:lpwstr>
      </vt:variant>
      <vt:variant>
        <vt:lpwstr/>
      </vt:variant>
      <vt:variant>
        <vt:i4>7077891</vt:i4>
      </vt:variant>
      <vt:variant>
        <vt:i4>225</vt:i4>
      </vt:variant>
      <vt:variant>
        <vt:i4>0</vt:i4>
      </vt:variant>
      <vt:variant>
        <vt:i4>5</vt:i4>
      </vt:variant>
      <vt:variant>
        <vt:lpwstr/>
      </vt:variant>
      <vt:variant>
        <vt:lpwstr>_Appendix_C:_List</vt:lpwstr>
      </vt:variant>
      <vt:variant>
        <vt:i4>7077891</vt:i4>
      </vt:variant>
      <vt:variant>
        <vt:i4>222</vt:i4>
      </vt:variant>
      <vt:variant>
        <vt:i4>0</vt:i4>
      </vt:variant>
      <vt:variant>
        <vt:i4>5</vt:i4>
      </vt:variant>
      <vt:variant>
        <vt:lpwstr/>
      </vt:variant>
      <vt:variant>
        <vt:lpwstr>_Appendix_C:_List</vt:lpwstr>
      </vt:variant>
      <vt:variant>
        <vt:i4>1769540</vt:i4>
      </vt:variant>
      <vt:variant>
        <vt:i4>219</vt:i4>
      </vt:variant>
      <vt:variant>
        <vt:i4>0</vt:i4>
      </vt:variant>
      <vt:variant>
        <vt:i4>5</vt:i4>
      </vt:variant>
      <vt:variant>
        <vt:lpwstr>https://www.sac-isc.gc.ca/eng/1100100033057/1610797769658</vt:lpwstr>
      </vt:variant>
      <vt:variant>
        <vt:lpwstr/>
      </vt:variant>
      <vt:variant>
        <vt:i4>6357088</vt:i4>
      </vt:variant>
      <vt:variant>
        <vt:i4>216</vt:i4>
      </vt:variant>
      <vt:variant>
        <vt:i4>0</vt:i4>
      </vt:variant>
      <vt:variant>
        <vt:i4>5</vt:i4>
      </vt:variant>
      <vt:variant>
        <vt:lpwstr>https://ontariogov.sharepoint.com/sites/CAB/SupplyChain/BOBIBOBIA/For REVIEW/ontario.ca/page/ontario-business-registry</vt:lpwstr>
      </vt:variant>
      <vt:variant>
        <vt:lpwstr>section-1</vt:lpwstr>
      </vt:variant>
      <vt:variant>
        <vt:i4>7536692</vt:i4>
      </vt:variant>
      <vt:variant>
        <vt:i4>213</vt:i4>
      </vt:variant>
      <vt:variant>
        <vt:i4>0</vt:i4>
      </vt:variant>
      <vt:variant>
        <vt:i4>5</vt:i4>
      </vt:variant>
      <vt:variant>
        <vt:lpwstr>https://ontariogov.sharepoint.com/sites/CAB/SupplyChain/BOBIBOBIA/For REVIEW/occ.ca/business-directory/</vt:lpwstr>
      </vt:variant>
      <vt:variant>
        <vt:lpwstr/>
      </vt:variant>
      <vt:variant>
        <vt:i4>6422647</vt:i4>
      </vt:variant>
      <vt:variant>
        <vt:i4>210</vt:i4>
      </vt:variant>
      <vt:variant>
        <vt:i4>0</vt:i4>
      </vt:variant>
      <vt:variant>
        <vt:i4>5</vt:i4>
      </vt:variant>
      <vt:variant>
        <vt:lpwstr/>
      </vt:variant>
      <vt:variant>
        <vt:lpwstr>Definition</vt:lpwstr>
      </vt:variant>
      <vt:variant>
        <vt:i4>524339</vt:i4>
      </vt:variant>
      <vt:variant>
        <vt:i4>207</vt:i4>
      </vt:variant>
      <vt:variant>
        <vt:i4>0</vt:i4>
      </vt:variant>
      <vt:variant>
        <vt:i4>5</vt:i4>
      </vt:variant>
      <vt:variant>
        <vt:lpwstr>mailto:doingbusiness@supplyontario.ca</vt:lpwstr>
      </vt:variant>
      <vt:variant>
        <vt:lpwstr/>
      </vt:variant>
      <vt:variant>
        <vt:i4>1114160</vt:i4>
      </vt:variant>
      <vt:variant>
        <vt:i4>200</vt:i4>
      </vt:variant>
      <vt:variant>
        <vt:i4>0</vt:i4>
      </vt:variant>
      <vt:variant>
        <vt:i4>5</vt:i4>
      </vt:variant>
      <vt:variant>
        <vt:lpwstr/>
      </vt:variant>
      <vt:variant>
        <vt:lpwstr>_Toc161060603</vt:lpwstr>
      </vt:variant>
      <vt:variant>
        <vt:i4>1114160</vt:i4>
      </vt:variant>
      <vt:variant>
        <vt:i4>194</vt:i4>
      </vt:variant>
      <vt:variant>
        <vt:i4>0</vt:i4>
      </vt:variant>
      <vt:variant>
        <vt:i4>5</vt:i4>
      </vt:variant>
      <vt:variant>
        <vt:lpwstr/>
      </vt:variant>
      <vt:variant>
        <vt:lpwstr>_Toc161060602</vt:lpwstr>
      </vt:variant>
      <vt:variant>
        <vt:i4>1114160</vt:i4>
      </vt:variant>
      <vt:variant>
        <vt:i4>188</vt:i4>
      </vt:variant>
      <vt:variant>
        <vt:i4>0</vt:i4>
      </vt:variant>
      <vt:variant>
        <vt:i4>5</vt:i4>
      </vt:variant>
      <vt:variant>
        <vt:lpwstr/>
      </vt:variant>
      <vt:variant>
        <vt:lpwstr>_Toc161060601</vt:lpwstr>
      </vt:variant>
      <vt:variant>
        <vt:i4>1114160</vt:i4>
      </vt:variant>
      <vt:variant>
        <vt:i4>182</vt:i4>
      </vt:variant>
      <vt:variant>
        <vt:i4>0</vt:i4>
      </vt:variant>
      <vt:variant>
        <vt:i4>5</vt:i4>
      </vt:variant>
      <vt:variant>
        <vt:lpwstr/>
      </vt:variant>
      <vt:variant>
        <vt:lpwstr>_Toc161060600</vt:lpwstr>
      </vt:variant>
      <vt:variant>
        <vt:i4>1572915</vt:i4>
      </vt:variant>
      <vt:variant>
        <vt:i4>176</vt:i4>
      </vt:variant>
      <vt:variant>
        <vt:i4>0</vt:i4>
      </vt:variant>
      <vt:variant>
        <vt:i4>5</vt:i4>
      </vt:variant>
      <vt:variant>
        <vt:lpwstr/>
      </vt:variant>
      <vt:variant>
        <vt:lpwstr>_Toc161060599</vt:lpwstr>
      </vt:variant>
      <vt:variant>
        <vt:i4>1572915</vt:i4>
      </vt:variant>
      <vt:variant>
        <vt:i4>170</vt:i4>
      </vt:variant>
      <vt:variant>
        <vt:i4>0</vt:i4>
      </vt:variant>
      <vt:variant>
        <vt:i4>5</vt:i4>
      </vt:variant>
      <vt:variant>
        <vt:lpwstr/>
      </vt:variant>
      <vt:variant>
        <vt:lpwstr>_Toc161060598</vt:lpwstr>
      </vt:variant>
      <vt:variant>
        <vt:i4>1572915</vt:i4>
      </vt:variant>
      <vt:variant>
        <vt:i4>164</vt:i4>
      </vt:variant>
      <vt:variant>
        <vt:i4>0</vt:i4>
      </vt:variant>
      <vt:variant>
        <vt:i4>5</vt:i4>
      </vt:variant>
      <vt:variant>
        <vt:lpwstr/>
      </vt:variant>
      <vt:variant>
        <vt:lpwstr>_Toc161060597</vt:lpwstr>
      </vt:variant>
      <vt:variant>
        <vt:i4>1572915</vt:i4>
      </vt:variant>
      <vt:variant>
        <vt:i4>158</vt:i4>
      </vt:variant>
      <vt:variant>
        <vt:i4>0</vt:i4>
      </vt:variant>
      <vt:variant>
        <vt:i4>5</vt:i4>
      </vt:variant>
      <vt:variant>
        <vt:lpwstr/>
      </vt:variant>
      <vt:variant>
        <vt:lpwstr>_Toc161060596</vt:lpwstr>
      </vt:variant>
      <vt:variant>
        <vt:i4>1572915</vt:i4>
      </vt:variant>
      <vt:variant>
        <vt:i4>152</vt:i4>
      </vt:variant>
      <vt:variant>
        <vt:i4>0</vt:i4>
      </vt:variant>
      <vt:variant>
        <vt:i4>5</vt:i4>
      </vt:variant>
      <vt:variant>
        <vt:lpwstr/>
      </vt:variant>
      <vt:variant>
        <vt:lpwstr>_Toc161060595</vt:lpwstr>
      </vt:variant>
      <vt:variant>
        <vt:i4>1572915</vt:i4>
      </vt:variant>
      <vt:variant>
        <vt:i4>146</vt:i4>
      </vt:variant>
      <vt:variant>
        <vt:i4>0</vt:i4>
      </vt:variant>
      <vt:variant>
        <vt:i4>5</vt:i4>
      </vt:variant>
      <vt:variant>
        <vt:lpwstr/>
      </vt:variant>
      <vt:variant>
        <vt:lpwstr>_Toc161060594</vt:lpwstr>
      </vt:variant>
      <vt:variant>
        <vt:i4>1572915</vt:i4>
      </vt:variant>
      <vt:variant>
        <vt:i4>140</vt:i4>
      </vt:variant>
      <vt:variant>
        <vt:i4>0</vt:i4>
      </vt:variant>
      <vt:variant>
        <vt:i4>5</vt:i4>
      </vt:variant>
      <vt:variant>
        <vt:lpwstr/>
      </vt:variant>
      <vt:variant>
        <vt:lpwstr>_Toc161060593</vt:lpwstr>
      </vt:variant>
      <vt:variant>
        <vt:i4>1572915</vt:i4>
      </vt:variant>
      <vt:variant>
        <vt:i4>134</vt:i4>
      </vt:variant>
      <vt:variant>
        <vt:i4>0</vt:i4>
      </vt:variant>
      <vt:variant>
        <vt:i4>5</vt:i4>
      </vt:variant>
      <vt:variant>
        <vt:lpwstr/>
      </vt:variant>
      <vt:variant>
        <vt:lpwstr>_Toc161060592</vt:lpwstr>
      </vt:variant>
      <vt:variant>
        <vt:i4>1572915</vt:i4>
      </vt:variant>
      <vt:variant>
        <vt:i4>128</vt:i4>
      </vt:variant>
      <vt:variant>
        <vt:i4>0</vt:i4>
      </vt:variant>
      <vt:variant>
        <vt:i4>5</vt:i4>
      </vt:variant>
      <vt:variant>
        <vt:lpwstr/>
      </vt:variant>
      <vt:variant>
        <vt:lpwstr>_Toc161060591</vt:lpwstr>
      </vt:variant>
      <vt:variant>
        <vt:i4>1572915</vt:i4>
      </vt:variant>
      <vt:variant>
        <vt:i4>122</vt:i4>
      </vt:variant>
      <vt:variant>
        <vt:i4>0</vt:i4>
      </vt:variant>
      <vt:variant>
        <vt:i4>5</vt:i4>
      </vt:variant>
      <vt:variant>
        <vt:lpwstr/>
      </vt:variant>
      <vt:variant>
        <vt:lpwstr>_Toc161060590</vt:lpwstr>
      </vt:variant>
      <vt:variant>
        <vt:i4>1638451</vt:i4>
      </vt:variant>
      <vt:variant>
        <vt:i4>116</vt:i4>
      </vt:variant>
      <vt:variant>
        <vt:i4>0</vt:i4>
      </vt:variant>
      <vt:variant>
        <vt:i4>5</vt:i4>
      </vt:variant>
      <vt:variant>
        <vt:lpwstr/>
      </vt:variant>
      <vt:variant>
        <vt:lpwstr>_Toc161060589</vt:lpwstr>
      </vt:variant>
      <vt:variant>
        <vt:i4>1638451</vt:i4>
      </vt:variant>
      <vt:variant>
        <vt:i4>110</vt:i4>
      </vt:variant>
      <vt:variant>
        <vt:i4>0</vt:i4>
      </vt:variant>
      <vt:variant>
        <vt:i4>5</vt:i4>
      </vt:variant>
      <vt:variant>
        <vt:lpwstr/>
      </vt:variant>
      <vt:variant>
        <vt:lpwstr>_Toc161060588</vt:lpwstr>
      </vt:variant>
      <vt:variant>
        <vt:i4>1638451</vt:i4>
      </vt:variant>
      <vt:variant>
        <vt:i4>104</vt:i4>
      </vt:variant>
      <vt:variant>
        <vt:i4>0</vt:i4>
      </vt:variant>
      <vt:variant>
        <vt:i4>5</vt:i4>
      </vt:variant>
      <vt:variant>
        <vt:lpwstr/>
      </vt:variant>
      <vt:variant>
        <vt:lpwstr>_Toc161060587</vt:lpwstr>
      </vt:variant>
      <vt:variant>
        <vt:i4>1638451</vt:i4>
      </vt:variant>
      <vt:variant>
        <vt:i4>98</vt:i4>
      </vt:variant>
      <vt:variant>
        <vt:i4>0</vt:i4>
      </vt:variant>
      <vt:variant>
        <vt:i4>5</vt:i4>
      </vt:variant>
      <vt:variant>
        <vt:lpwstr/>
      </vt:variant>
      <vt:variant>
        <vt:lpwstr>_Toc161060586</vt:lpwstr>
      </vt:variant>
      <vt:variant>
        <vt:i4>1638451</vt:i4>
      </vt:variant>
      <vt:variant>
        <vt:i4>92</vt:i4>
      </vt:variant>
      <vt:variant>
        <vt:i4>0</vt:i4>
      </vt:variant>
      <vt:variant>
        <vt:i4>5</vt:i4>
      </vt:variant>
      <vt:variant>
        <vt:lpwstr/>
      </vt:variant>
      <vt:variant>
        <vt:lpwstr>_Toc161060585</vt:lpwstr>
      </vt:variant>
      <vt:variant>
        <vt:i4>1638451</vt:i4>
      </vt:variant>
      <vt:variant>
        <vt:i4>86</vt:i4>
      </vt:variant>
      <vt:variant>
        <vt:i4>0</vt:i4>
      </vt:variant>
      <vt:variant>
        <vt:i4>5</vt:i4>
      </vt:variant>
      <vt:variant>
        <vt:lpwstr/>
      </vt:variant>
      <vt:variant>
        <vt:lpwstr>_Toc161060584</vt:lpwstr>
      </vt:variant>
      <vt:variant>
        <vt:i4>1638451</vt:i4>
      </vt:variant>
      <vt:variant>
        <vt:i4>80</vt:i4>
      </vt:variant>
      <vt:variant>
        <vt:i4>0</vt:i4>
      </vt:variant>
      <vt:variant>
        <vt:i4>5</vt:i4>
      </vt:variant>
      <vt:variant>
        <vt:lpwstr/>
      </vt:variant>
      <vt:variant>
        <vt:lpwstr>_Toc161060583</vt:lpwstr>
      </vt:variant>
      <vt:variant>
        <vt:i4>1638451</vt:i4>
      </vt:variant>
      <vt:variant>
        <vt:i4>74</vt:i4>
      </vt:variant>
      <vt:variant>
        <vt:i4>0</vt:i4>
      </vt:variant>
      <vt:variant>
        <vt:i4>5</vt:i4>
      </vt:variant>
      <vt:variant>
        <vt:lpwstr/>
      </vt:variant>
      <vt:variant>
        <vt:lpwstr>_Toc161060582</vt:lpwstr>
      </vt:variant>
      <vt:variant>
        <vt:i4>1638451</vt:i4>
      </vt:variant>
      <vt:variant>
        <vt:i4>68</vt:i4>
      </vt:variant>
      <vt:variant>
        <vt:i4>0</vt:i4>
      </vt:variant>
      <vt:variant>
        <vt:i4>5</vt:i4>
      </vt:variant>
      <vt:variant>
        <vt:lpwstr/>
      </vt:variant>
      <vt:variant>
        <vt:lpwstr>_Toc161060581</vt:lpwstr>
      </vt:variant>
      <vt:variant>
        <vt:i4>1638451</vt:i4>
      </vt:variant>
      <vt:variant>
        <vt:i4>62</vt:i4>
      </vt:variant>
      <vt:variant>
        <vt:i4>0</vt:i4>
      </vt:variant>
      <vt:variant>
        <vt:i4>5</vt:i4>
      </vt:variant>
      <vt:variant>
        <vt:lpwstr/>
      </vt:variant>
      <vt:variant>
        <vt:lpwstr>_Toc161060580</vt:lpwstr>
      </vt:variant>
      <vt:variant>
        <vt:i4>1441843</vt:i4>
      </vt:variant>
      <vt:variant>
        <vt:i4>56</vt:i4>
      </vt:variant>
      <vt:variant>
        <vt:i4>0</vt:i4>
      </vt:variant>
      <vt:variant>
        <vt:i4>5</vt:i4>
      </vt:variant>
      <vt:variant>
        <vt:lpwstr/>
      </vt:variant>
      <vt:variant>
        <vt:lpwstr>_Toc161060579</vt:lpwstr>
      </vt:variant>
      <vt:variant>
        <vt:i4>1441843</vt:i4>
      </vt:variant>
      <vt:variant>
        <vt:i4>50</vt:i4>
      </vt:variant>
      <vt:variant>
        <vt:i4>0</vt:i4>
      </vt:variant>
      <vt:variant>
        <vt:i4>5</vt:i4>
      </vt:variant>
      <vt:variant>
        <vt:lpwstr/>
      </vt:variant>
      <vt:variant>
        <vt:lpwstr>_Toc161060578</vt:lpwstr>
      </vt:variant>
      <vt:variant>
        <vt:i4>1441843</vt:i4>
      </vt:variant>
      <vt:variant>
        <vt:i4>44</vt:i4>
      </vt:variant>
      <vt:variant>
        <vt:i4>0</vt:i4>
      </vt:variant>
      <vt:variant>
        <vt:i4>5</vt:i4>
      </vt:variant>
      <vt:variant>
        <vt:lpwstr/>
      </vt:variant>
      <vt:variant>
        <vt:lpwstr>_Toc161060577</vt:lpwstr>
      </vt:variant>
      <vt:variant>
        <vt:i4>1441843</vt:i4>
      </vt:variant>
      <vt:variant>
        <vt:i4>38</vt:i4>
      </vt:variant>
      <vt:variant>
        <vt:i4>0</vt:i4>
      </vt:variant>
      <vt:variant>
        <vt:i4>5</vt:i4>
      </vt:variant>
      <vt:variant>
        <vt:lpwstr/>
      </vt:variant>
      <vt:variant>
        <vt:lpwstr>_Toc161060576</vt:lpwstr>
      </vt:variant>
      <vt:variant>
        <vt:i4>1441843</vt:i4>
      </vt:variant>
      <vt:variant>
        <vt:i4>32</vt:i4>
      </vt:variant>
      <vt:variant>
        <vt:i4>0</vt:i4>
      </vt:variant>
      <vt:variant>
        <vt:i4>5</vt:i4>
      </vt:variant>
      <vt:variant>
        <vt:lpwstr/>
      </vt:variant>
      <vt:variant>
        <vt:lpwstr>_Toc161060575</vt:lpwstr>
      </vt:variant>
      <vt:variant>
        <vt:i4>1441843</vt:i4>
      </vt:variant>
      <vt:variant>
        <vt:i4>26</vt:i4>
      </vt:variant>
      <vt:variant>
        <vt:i4>0</vt:i4>
      </vt:variant>
      <vt:variant>
        <vt:i4>5</vt:i4>
      </vt:variant>
      <vt:variant>
        <vt:lpwstr/>
      </vt:variant>
      <vt:variant>
        <vt:lpwstr>_Toc161060574</vt:lpwstr>
      </vt:variant>
      <vt:variant>
        <vt:i4>1441843</vt:i4>
      </vt:variant>
      <vt:variant>
        <vt:i4>20</vt:i4>
      </vt:variant>
      <vt:variant>
        <vt:i4>0</vt:i4>
      </vt:variant>
      <vt:variant>
        <vt:i4>5</vt:i4>
      </vt:variant>
      <vt:variant>
        <vt:lpwstr/>
      </vt:variant>
      <vt:variant>
        <vt:lpwstr>_Toc161060573</vt:lpwstr>
      </vt:variant>
      <vt:variant>
        <vt:i4>1441843</vt:i4>
      </vt:variant>
      <vt:variant>
        <vt:i4>14</vt:i4>
      </vt:variant>
      <vt:variant>
        <vt:i4>0</vt:i4>
      </vt:variant>
      <vt:variant>
        <vt:i4>5</vt:i4>
      </vt:variant>
      <vt:variant>
        <vt:lpwstr/>
      </vt:variant>
      <vt:variant>
        <vt:lpwstr>_Toc161060572</vt:lpwstr>
      </vt:variant>
      <vt:variant>
        <vt:i4>1441843</vt:i4>
      </vt:variant>
      <vt:variant>
        <vt:i4>8</vt:i4>
      </vt:variant>
      <vt:variant>
        <vt:i4>0</vt:i4>
      </vt:variant>
      <vt:variant>
        <vt:i4>5</vt:i4>
      </vt:variant>
      <vt:variant>
        <vt:lpwstr/>
      </vt:variant>
      <vt:variant>
        <vt:lpwstr>_Toc161060571</vt:lpwstr>
      </vt:variant>
      <vt:variant>
        <vt:i4>1441843</vt:i4>
      </vt:variant>
      <vt:variant>
        <vt:i4>2</vt:i4>
      </vt:variant>
      <vt:variant>
        <vt:i4>0</vt:i4>
      </vt:variant>
      <vt:variant>
        <vt:i4>5</vt:i4>
      </vt:variant>
      <vt:variant>
        <vt:lpwstr/>
      </vt:variant>
      <vt:variant>
        <vt:lpwstr>_Toc161060570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Vega</dc:creator>
  <cp:keywords/>
  <dc:description/>
  <cp:lastModifiedBy>Spence, Jason (CSCO)</cp:lastModifiedBy>
  <cp:revision>3</cp:revision>
  <cp:lastPrinted>2024-08-19T17:47:00Z</cp:lastPrinted>
  <dcterms:created xsi:type="dcterms:W3CDTF">2024-11-27T21:50:00Z</dcterms:created>
  <dcterms:modified xsi:type="dcterms:W3CDTF">2024-11-27T21:52:00Z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0x0101004A6F9C30A5672B4B9271664ED20111A4</vt:lpwstr>
  </property>
  <property fmtid="{D5CDD505-2E9C-101B-9397-08002B2CF9AE}" pid="3" name="MSIP_Label_7a80cf1f-457b-4135-a250-6f8b69496c6f_Enabled">
    <vt:lpwstr>true</vt:lpwstr>
  </property>
  <property fmtid="{D5CDD505-2E9C-101B-9397-08002B2CF9AE}" pid="4" name="MSIP_Label_7a80cf1f-457b-4135-a250-6f8b69496c6f_SetDate">
    <vt:lpwstr>2023-09-25T18:35:16Z</vt:lpwstr>
  </property>
  <property fmtid="{D5CDD505-2E9C-101B-9397-08002B2CF9AE}" pid="5" name="MSIP_Label_7a80cf1f-457b-4135-a250-6f8b69496c6f_Method">
    <vt:lpwstr>Standard</vt:lpwstr>
  </property>
  <property fmtid="{D5CDD505-2E9C-101B-9397-08002B2CF9AE}" pid="6" name="MSIP_Label_7a80cf1f-457b-4135-a250-6f8b69496c6f_Name">
    <vt:lpwstr>7a80cf1f-457b-4135-a250-6f8b69496c6f</vt:lpwstr>
  </property>
  <property fmtid="{D5CDD505-2E9C-101B-9397-08002B2CF9AE}" pid="7" name="MSIP_Label_7a80cf1f-457b-4135-a250-6f8b69496c6f_SiteId">
    <vt:lpwstr>cddc1229-ac2a-4b97-b78a-0e5cacb5865c</vt:lpwstr>
  </property>
  <property fmtid="{D5CDD505-2E9C-101B-9397-08002B2CF9AE}" pid="8" name="MSIP_Label_7a80cf1f-457b-4135-a250-6f8b69496c6f_ContentBits">
    <vt:lpwstr>8</vt:lpwstr>
  </property>
</Properties>
</file>